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4A0" w:firstRow="1" w:lastRow="0" w:firstColumn="1" w:lastColumn="0" w:noHBand="0" w:noVBand="1"/>
      </w:tblPr>
      <w:tblGrid>
        <w:gridCol w:w="10656"/>
      </w:tblGrid>
      <w:tr w:rsidR="00DE5B3A">
        <w:tc>
          <w:tcPr>
            <w:tcW w:w="0" w:type="auto"/>
          </w:tcPr>
          <w:p w:rsidR="00DE5B3A" w:rsidRDefault="00997227">
            <w:bookmarkStart w:id="0" w:name="_GoBack"/>
            <w:bookmarkEnd w:id="0"/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0002" o:spid="_x0000_s1027" type="#_x0000_t75" style="position:absolute;left:0;text-align:left;margin-left:0;margin-top:0;width:214.45pt;height:81.75pt;z-index:1;visibility:visible;mso-wrap-style:square;mso-wrap-distance-left:9pt;mso-wrap-distance-top:0;mso-wrap-distance-right:9pt;mso-wrap-distance-bottom:0;mso-position-horizontal:left;mso-position-horizontal-relative:text;mso-position-vertical:top;mso-position-vertical-relative:text">
                  <v:imagedata r:id="rId9" o:title=""/>
                  <w10:wrap type="topAndBottom"/>
                </v:shape>
              </w:pict>
            </w:r>
            <w:r>
              <w:rPr>
                <w:noProof/>
              </w:rPr>
              <w:pict>
                <v:shape id="Picture 100003" o:spid="_x0000_s1026" type="#_x0000_t75" style="position:absolute;left:0;text-align:left;margin-left:173.85pt;margin-top:0;width:225.05pt;height:75.75pt;z-index:2;visibility:visible;mso-wrap-style:square;mso-wrap-distance-left:9pt;mso-wrap-distance-top:0;mso-wrap-distance-right:9pt;mso-wrap-distance-bottom:0;mso-position-horizontal:right;mso-position-horizontal-relative:text;mso-position-vertical:top;mso-position-vertical-relative:text">
                  <v:imagedata r:id="rId10" o:title=""/>
                  <w10:wrap type="topAndBottom"/>
                </v:shape>
              </w:pict>
            </w:r>
          </w:p>
        </w:tc>
      </w:tr>
      <w:tr w:rsidR="00DE5B3A">
        <w:tc>
          <w:tcPr>
            <w:tcW w:w="0" w:type="auto"/>
          </w:tcPr>
          <w:p w:rsidR="00DE5B3A" w:rsidRDefault="00997227">
            <w:pPr>
              <w:pStyle w:val="Title"/>
            </w:pPr>
            <w:r>
              <w:t>Годишен доклад за изпълнението</w:t>
            </w:r>
          </w:p>
          <w:p w:rsidR="00DE5B3A" w:rsidRDefault="00997227">
            <w:pPr>
              <w:pStyle w:val="Title"/>
            </w:pPr>
            <w:r>
              <w:t>Приложение за мониторинг</w:t>
            </w:r>
          </w:p>
          <w:p w:rsidR="00DE5B3A" w:rsidRDefault="00997227">
            <w:pPr>
              <w:pStyle w:val="Title"/>
            </w:pPr>
            <w:r>
              <w:t>Bulgaria - Rural Development Programme (National)</w:t>
            </w:r>
          </w:p>
          <w:p w:rsidR="00DE5B3A" w:rsidRDefault="00DE5B3A"/>
        </w:tc>
      </w:tr>
      <w:tr w:rsidR="00DE5B3A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DE5B3A">
              <w:tc>
                <w:tcPr>
                  <w:tcW w:w="0" w:type="auto"/>
                  <w:gridSpan w:val="2"/>
                  <w:shd w:val="clear" w:color="auto" w:fill="C0C0C0"/>
                </w:tcPr>
                <w:p w:rsidR="00DE5B3A" w:rsidRDefault="0099722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Годишен доклад за изпълнението</w:t>
                  </w:r>
                </w:p>
              </w:tc>
            </w:tr>
            <w:tr w:rsidR="00DE5B3A">
              <w:tc>
                <w:tcPr>
                  <w:tcW w:w="0" w:type="auto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Период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01/01/2017 - 31/12/2017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2017.0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Статус — настоящ възел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Готово за изпращане - Balgarija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Национален референтен номер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DE5B3A">
                  <w:pPr>
                    <w:spacing w:before="40" w:after="40"/>
                    <w:jc w:val="center"/>
                  </w:pP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Дата на одобряване на комитет за наблюдение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26/06/2018</w:t>
                  </w:r>
                </w:p>
              </w:tc>
            </w:tr>
          </w:tbl>
          <w:p w:rsidR="00DE5B3A" w:rsidRDefault="00DE5B3A"/>
        </w:tc>
      </w:tr>
      <w:tr w:rsidR="00DE5B3A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DE5B3A">
              <w:tc>
                <w:tcPr>
                  <w:tcW w:w="0" w:type="auto"/>
                  <w:gridSpan w:val="2"/>
                  <w:shd w:val="clear" w:color="auto" w:fill="C0C0C0"/>
                </w:tcPr>
                <w:p w:rsidR="00DE5B3A" w:rsidRDefault="0099722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Версия на програмата в сила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CCI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2014BG06RDNP001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Вид на програмата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Програма за развитие на селските райони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Държава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България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Регион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BG - National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Програмен период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2014 - 2020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4.0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Номер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C(2017)1381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Дата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22/02/2017</w:t>
                  </w:r>
                </w:p>
              </w:tc>
            </w:tr>
            <w:tr w:rsidR="00DE5B3A"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pStyle w:val="Caption"/>
                    <w:spacing w:before="40" w:after="40"/>
                    <w:jc w:val="center"/>
                  </w:pPr>
                  <w:r>
                    <w:t>Управляващ орган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DE5B3A" w:rsidRDefault="00997227">
                  <w:pPr>
                    <w:spacing w:before="40" w:after="40"/>
                    <w:jc w:val="center"/>
                  </w:pPr>
                  <w:r>
                    <w:t>Дирекция "Развитие на селските райони" (РСР) в Министерство на земеделието и храните.</w:t>
                  </w:r>
                </w:p>
              </w:tc>
            </w:tr>
          </w:tbl>
          <w:p w:rsidR="00DE5B3A" w:rsidRDefault="00DE5B3A"/>
        </w:tc>
      </w:tr>
    </w:tbl>
    <w:p w:rsidR="00DE5B3A" w:rsidRDefault="00DE5B3A">
      <w:pPr>
        <w:sectPr w:rsidR="00DE5B3A">
          <w:footerReference w:type="default" r:id="rId11"/>
          <w:headerReference w:type="first" r:id="rId12"/>
          <w:footerReference w:type="first" r:id="rId13"/>
          <w:pgSz w:w="12240" w:h="15840"/>
          <w:pgMar w:top="900" w:right="900" w:bottom="900" w:left="900" w:header="720" w:footer="720" w:gutter="0"/>
          <w:pgNumType w:start="1"/>
          <w:cols w:space="720"/>
          <w:vAlign w:val="both"/>
        </w:sectPr>
      </w:pPr>
    </w:p>
    <w:p w:rsidR="00DE5B3A" w:rsidRDefault="00997227">
      <w:pPr>
        <w:jc w:val="center"/>
        <w:rPr>
          <w:b/>
          <w:sz w:val="32"/>
        </w:rPr>
      </w:pPr>
      <w:r>
        <w:rPr>
          <w:b/>
          <w:sz w:val="32"/>
        </w:rPr>
        <w:lastRenderedPageBreak/>
        <w:t>Съдържание</w:t>
      </w:r>
    </w:p>
    <w:p w:rsidR="00DE5B3A" w:rsidRDefault="00DE5B3A">
      <w:pPr>
        <w:jc w:val="center"/>
        <w:rPr>
          <w:b/>
          <w:sz w:val="32"/>
        </w:rPr>
      </w:pPr>
    </w:p>
    <w:p w:rsidR="00DE5B3A" w:rsidRDefault="00997227">
      <w:pPr>
        <w:pStyle w:val="TOC1"/>
        <w:rPr>
          <w:rFonts w:ascii="Calibri" w:hAnsi="Calibri"/>
          <w:noProof/>
          <w:sz w:val="22"/>
        </w:rPr>
      </w:pPr>
      <w:r>
        <w:fldChar w:fldCharType="begin"/>
      </w:r>
      <w:r>
        <w:instrText>TOC \o "1-3" \h \z \u</w:instrText>
      </w:r>
      <w:r>
        <w:fldChar w:fldCharType="separate"/>
      </w:r>
      <w:hyperlink w:anchor="_Toc256000009" w:history="1">
        <w:r>
          <w:rPr>
            <w:rStyle w:val="Hyperlink"/>
          </w:rPr>
          <w:t>1. Кодиращи таблици за общи и специфични за програмата показатели и количествени целеви стойности</w:t>
        </w:r>
        <w:r>
          <w:tab/>
        </w:r>
        <w:r>
          <w:fldChar w:fldCharType="begin"/>
        </w:r>
        <w:r>
          <w:instrText xml:space="preserve"> PAGEREF _Toc256000009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0" w:history="1">
        <w:r>
          <w:rPr>
            <w:rStyle w:val="Hyperlink"/>
          </w:rPr>
          <w:t>1.a) Таблица А: Поети разходни задължения по мерки и акцентирани области — НА ГОДИШНА БАЗА</w:t>
        </w:r>
        <w:r>
          <w:tab/>
        </w:r>
        <w:r>
          <w:fldChar w:fldCharType="begin"/>
        </w:r>
        <w:r>
          <w:instrText xml:space="preserve"> PAGEREF _Toc256000010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1" w:history="1">
        <w:r>
          <w:rPr>
            <w:rStyle w:val="Hyperlink"/>
          </w:rPr>
          <w:t>1.b) Таблица Б: Показатели за реализирани резултати по мерки и области с поставен акцент</w:t>
        </w:r>
        <w:r>
          <w:tab/>
        </w:r>
        <w:r>
          <w:fldChar w:fldCharType="begin"/>
        </w:r>
        <w:r>
          <w:instrText xml:space="preserve"> PAGEREF _Toc256000011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2" w:history="1">
        <w:r>
          <w:rPr>
            <w:rStyle w:val="Hyperlink"/>
          </w:rPr>
          <w:t>1.c) Таблица В: Разбивка за съответните резултати и мерки по типове области, пол и/или възраст — КУМУЛАТИВНИ ДАННИ</w:t>
        </w:r>
        <w:r>
          <w:tab/>
        </w:r>
        <w:r>
          <w:fldChar w:fldCharType="begin"/>
        </w:r>
        <w:r>
          <w:instrText xml:space="preserve"> PAGEREF _Toc256000012 \h </w:instrText>
        </w:r>
        <w:r>
          <w:fldChar w:fldCharType="separate"/>
        </w:r>
        <w:r>
          <w:t>72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3" w:history="1">
        <w:r>
          <w:rPr>
            <w:rStyle w:val="Hyperlink"/>
          </w:rPr>
          <w:t>1.d) Таблица Г: Напредък към постигане на целите</w:t>
        </w:r>
        <w:r>
          <w:tab/>
        </w:r>
        <w:r>
          <w:fldChar w:fldCharType="begin"/>
        </w:r>
        <w:r>
          <w:instrText xml:space="preserve"> PAGEREF _Toc256000013 \h </w:instrText>
        </w:r>
        <w:r>
          <w:fldChar w:fldCharType="separate"/>
        </w:r>
        <w:r>
          <w:t>92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4" w:history="1">
        <w:r>
          <w:rPr>
            <w:rStyle w:val="Hyperlink"/>
          </w:rPr>
          <w:t>1.e) Таблица Д: Мониторинг на преходните мерки — ГОДИШНИ ДАННИ</w:t>
        </w:r>
        <w:r>
          <w:tab/>
        </w:r>
        <w:r>
          <w:fldChar w:fldCharType="begin"/>
        </w:r>
        <w:r>
          <w:instrText xml:space="preserve"> </w:instrText>
        </w:r>
        <w:r>
          <w:instrText xml:space="preserve">PAGEREF _Toc256000014 \h </w:instrText>
        </w:r>
        <w:r>
          <w:fldChar w:fldCharType="separate"/>
        </w:r>
        <w:r>
          <w:t>96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5" w:history="1">
        <w:r>
          <w:rPr>
            <w:rStyle w:val="Hyperlink"/>
          </w:rPr>
          <w:t>1.f) Таблица Е: Постигане на показателите от рамката на изпълнението</w:t>
        </w:r>
        <w:r>
          <w:tab/>
        </w:r>
        <w:r>
          <w:fldChar w:fldCharType="begin"/>
        </w:r>
        <w:r>
          <w:instrText xml:space="preserve"> PAGEREF _Toc256000015 \h </w:instrText>
        </w:r>
        <w:r>
          <w:fldChar w:fldCharType="separate"/>
        </w:r>
        <w:r>
          <w:t>97</w:t>
        </w:r>
        <w:r>
          <w:fldChar w:fldCharType="end"/>
        </w:r>
      </w:hyperlink>
    </w:p>
    <w:p w:rsidR="00DE5B3A" w:rsidRDefault="00997227">
      <w:pPr>
        <w:pStyle w:val="TOC2"/>
        <w:rPr>
          <w:rFonts w:ascii="Calibri" w:hAnsi="Calibri"/>
          <w:noProof/>
          <w:sz w:val="22"/>
        </w:rPr>
      </w:pPr>
      <w:hyperlink w:anchor="_Toc256000016" w:history="1">
        <w:r>
          <w:rPr>
            <w:rStyle w:val="Hyperlink"/>
          </w:rPr>
          <w:t>1.g) Таблица Ж: Специфични за програмата показатели</w:t>
        </w:r>
        <w:r>
          <w:tab/>
        </w:r>
        <w:r>
          <w:fldChar w:fldCharType="begin"/>
        </w:r>
        <w:r>
          <w:instrText xml:space="preserve"> PAGEREF _Toc256000016 \h </w:instrText>
        </w:r>
        <w:r>
          <w:fldChar w:fldCharType="separate"/>
        </w:r>
        <w:r>
          <w:t>101</w:t>
        </w:r>
        <w:r>
          <w:fldChar w:fldCharType="end"/>
        </w:r>
      </w:hyperlink>
    </w:p>
    <w:p w:rsidR="00DE5B3A" w:rsidRDefault="00997227">
      <w:pPr>
        <w:pStyle w:val="TOC1"/>
        <w:rPr>
          <w:rFonts w:ascii="Calibri" w:hAnsi="Calibri"/>
          <w:noProof/>
          <w:sz w:val="22"/>
        </w:rPr>
      </w:pPr>
      <w:hyperlink w:anchor="_Toc256000017" w:history="1">
        <w:r>
          <w:rPr>
            <w:rStyle w:val="Hyperlink"/>
          </w:rPr>
          <w:t>2. Легенда</w:t>
        </w:r>
        <w:r>
          <w:tab/>
        </w:r>
        <w:r>
          <w:fldChar w:fldCharType="begin"/>
        </w:r>
        <w:r>
          <w:instrText xml:space="preserve"> PAGEREF _Toc256000017 \h </w:instrText>
        </w:r>
        <w:r>
          <w:fldChar w:fldCharType="separate"/>
        </w:r>
        <w:r>
          <w:t>104</w:t>
        </w:r>
        <w:r>
          <w:fldChar w:fldCharType="end"/>
        </w:r>
      </w:hyperlink>
    </w:p>
    <w:p w:rsidR="00DE5B3A" w:rsidRDefault="00997227">
      <w:pPr>
        <w:sectPr w:rsidR="00DE5B3A">
          <w:pgSz w:w="12240" w:h="15840"/>
          <w:pgMar w:top="900" w:right="900" w:bottom="900" w:left="900" w:header="720" w:footer="720" w:gutter="0"/>
          <w:cols w:space="720"/>
        </w:sectPr>
      </w:pPr>
      <w:r>
        <w:fldChar w:fldCharType="end"/>
      </w:r>
    </w:p>
    <w:p w:rsidR="00DE5B3A" w:rsidRDefault="00997227">
      <w:pPr>
        <w:rPr>
          <w:sz w:val="28"/>
        </w:rPr>
      </w:pPr>
      <w:r>
        <w:rPr>
          <w:sz w:val="28"/>
        </w:rPr>
        <w:lastRenderedPageBreak/>
        <w:t>РАЗДЕЛ 11</w:t>
      </w:r>
    </w:p>
    <w:p w:rsidR="00DE5B3A" w:rsidRDefault="00997227">
      <w:pPr>
        <w:pStyle w:val="Heading1"/>
      </w:pPr>
      <w:bookmarkStart w:id="1" w:name="_Toc256000009"/>
      <w:bookmarkStart w:id="2" w:name="_Toc256000000"/>
      <w:r>
        <w:t>Кодиращи таблици за общ</w:t>
      </w:r>
      <w:r>
        <w:t>и и специфични за програмата показатели и количествени целеви стойности</w:t>
      </w:r>
      <w:bookmarkEnd w:id="1"/>
      <w:bookmarkEnd w:id="2"/>
    </w:p>
    <w:p w:rsidR="00DE5B3A" w:rsidRDefault="00997227">
      <w:pPr>
        <w:pStyle w:val="Heading2"/>
        <w:rPr>
          <w:sz w:val="28"/>
        </w:rPr>
      </w:pPr>
      <w:bookmarkStart w:id="3" w:name="_Toc256000010"/>
      <w:bookmarkStart w:id="4" w:name="_Toc256000001"/>
      <w:r>
        <w:rPr>
          <w:sz w:val="28"/>
        </w:rPr>
        <w:t>Таблица А: Поети разходни задължения по мерки и акцентирани области — НА ГОДИШНА БАЗА</w:t>
      </w:r>
      <w:bookmarkEnd w:id="3"/>
      <w:bookmarkEnd w:id="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5"/>
        <w:gridCol w:w="1395"/>
        <w:gridCol w:w="2461"/>
        <w:gridCol w:w="1929"/>
        <w:gridCol w:w="1396"/>
        <w:gridCol w:w="864"/>
        <w:gridCol w:w="1216"/>
      </w:tblGrid>
      <w:tr w:rsidR="00DE5B3A">
        <w:tc>
          <w:tcPr>
            <w:tcW w:w="250" w:type="pct"/>
            <w:shd w:val="clear" w:color="auto" w:fill="C0C0C0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shd w:val="clear" w:color="auto" w:fill="C0C0C0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C0C0C0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Общо публични разходи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780 015,00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46 914,00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6 376,00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6 376,00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475 729,00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70 787,00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2 306 009,00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169 396 566,00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169 396 566,00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30 939 394,00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30 939 394,00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32 558 790,00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32 558 790,00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committed for </w:t>
            </w:r>
            <w:r>
              <w:rPr>
                <w:sz w:val="16"/>
              </w:rPr>
              <w:lastRenderedPageBreak/>
              <w:t>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2 867 092,00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2 867 092,00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14 687 753,00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14 687 753,00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1 296 119,00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1 296 119,00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419 055,00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419 055,00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252 164 769,00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252 164 769,00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25 157 212,00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25 157 212,00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</w:t>
            </w:r>
            <w:r>
              <w:rPr>
                <w:sz w:val="16"/>
              </w:rPr>
              <w:t>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25 332 212,00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Amount committed for </w:t>
            </w:r>
            <w:r>
              <w:rPr>
                <w:b/>
                <w:sz w:val="16"/>
              </w:rPr>
              <w:lastRenderedPageBreak/>
              <w:t>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25 332 212,00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378 330,00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378 330,00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</w:t>
            </w:r>
            <w:r>
              <w:rPr>
                <w:sz w:val="16"/>
              </w:rPr>
              <w:t xml:space="preserve">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177 289 200,00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177 289 200,00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committed for </w:t>
            </w:r>
            <w:r>
              <w:rPr>
                <w:sz w:val="16"/>
              </w:rPr>
              <w:t>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committed for Financial Instrument in the </w:t>
            </w:r>
            <w:r>
              <w:rPr>
                <w:sz w:val="16"/>
              </w:rPr>
              <w:t>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177 667 530,00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177 667 530,00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Amount committed for Financial Instrument in the Funding </w:t>
            </w:r>
            <w:r>
              <w:rPr>
                <w:b/>
                <w:sz w:val="16"/>
              </w:rPr>
              <w:t>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552 759,00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69 535,00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69 535,00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52 899 548,00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7 222 540,00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60 122 088,00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35 888 588,00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35 888 588,00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24 146 898,00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24 146 898,00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52 562 862,00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52 562 862,00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committed for </w:t>
            </w:r>
            <w:r>
              <w:rPr>
                <w:sz w:val="16"/>
              </w:rPr>
              <w:lastRenderedPageBreak/>
              <w:t>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</w:t>
            </w:r>
            <w:r>
              <w:rPr>
                <w:sz w:val="16"/>
              </w:rPr>
              <w:t>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Amount committed for Financial Instrument </w:t>
            </w:r>
            <w:r>
              <w:rPr>
                <w:b/>
                <w:sz w:val="16"/>
              </w:rPr>
              <w:t>in the Funding 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4 499 688,00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4 499 688,00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committed for Financial Instrument in the Funding </w:t>
            </w:r>
            <w:r>
              <w:rPr>
                <w:sz w:val="16"/>
              </w:rPr>
              <w:t>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4 499 688,00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4 499 688,00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Amount 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2 622 131,00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8 834 667,00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13 166 573,00</w:t>
            </w:r>
          </w:p>
        </w:tc>
      </w:tr>
    </w:tbl>
    <w:p w:rsidR="00DE5B3A" w:rsidRDefault="00997227">
      <w:pPr>
        <w:pStyle w:val="Heading2"/>
      </w:pPr>
      <w:r>
        <w:br w:type="page"/>
      </w:r>
      <w:bookmarkStart w:id="5" w:name="_Toc256000011"/>
      <w:bookmarkStart w:id="6" w:name="_Toc256000002"/>
      <w:r>
        <w:lastRenderedPageBreak/>
        <w:t>Таблица Б: Показатели за реализирани резултати по мерки и области с поставен акцент</w:t>
      </w:r>
      <w:bookmarkEnd w:id="5"/>
      <w:bookmarkEnd w:id="6"/>
    </w:p>
    <w:p w:rsidR="00DE5B3A" w:rsidRDefault="00997227">
      <w:r>
        <w:t xml:space="preserve">Таблица Б1: Реализирани резултати (годишен доклад за изпълнението) — КУМУЛАТИВНИ </w:t>
      </w:r>
      <w:r>
        <w:t>ДАННИМ01 — Трансфер на знания и действия за осведомяване (член 14)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</w:t>
            </w:r>
            <w:r>
              <w:rPr>
                <w:sz w:val="16"/>
              </w:rPr>
              <w:t>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</w:t>
            </w:r>
            <w:r>
              <w:rPr>
                <w:sz w:val="16"/>
              </w:rPr>
              <w:t>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</w:t>
            </w:r>
            <w:r>
              <w:rPr>
                <w:b/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O11 - Брой на дните проведено </w:t>
            </w:r>
            <w:r>
              <w:rPr>
                <w:sz w:val="16"/>
              </w:rPr>
              <w:t>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на </w:t>
            </w:r>
            <w:r>
              <w:rPr>
                <w:sz w:val="16"/>
              </w:rPr>
              <w:t>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на участниците в </w:t>
            </w:r>
            <w:r>
              <w:rPr>
                <w:sz w:val="16"/>
              </w:rPr>
              <w:t>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М02 —  Консултантски услуги, услуги по управление на стопанство и услуги по заместване в стопанство (член 15)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780 334,00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975 710,00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6 376,00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6 376,00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432 729,00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70 787,00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229 953,00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3 192 124,00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1 269,00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2 053,00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2 327,00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19 523,00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O13 - Брой на консултираните </w:t>
            </w:r>
            <w:r>
              <w:rPr>
                <w:sz w:val="16"/>
              </w:rPr>
              <w:t>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O13 - Брой на консултираните </w:t>
            </w:r>
            <w:r>
              <w:rPr>
                <w:sz w:val="16"/>
              </w:rPr>
              <w:t>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O13 - Брой на консултираните </w:t>
            </w:r>
            <w:r>
              <w:rPr>
                <w:sz w:val="16"/>
              </w:rPr>
              <w:t>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</w:t>
            </w:r>
            <w:r>
              <w:rPr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</w:t>
            </w:r>
            <w:r>
              <w:rPr>
                <w:b/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</w:t>
            </w:r>
            <w:r>
              <w:rPr>
                <w:sz w:val="16"/>
              </w:rPr>
              <w:t xml:space="preserve">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M04 — Инвестиции в материални активи (член 17)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5"/>
        <w:gridCol w:w="1395"/>
        <w:gridCol w:w="2461"/>
        <w:gridCol w:w="1929"/>
        <w:gridCol w:w="1396"/>
        <w:gridCol w:w="864"/>
        <w:gridCol w:w="121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Област с </w:t>
            </w:r>
            <w:r>
              <w:rPr>
                <w:sz w:val="16"/>
              </w:rPr>
              <w:t>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47 712 364,58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47 712 364,58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15 572 673,04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15 572 673,04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7 976 104,64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7 976 104,64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2 257 247,82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2 257 247,82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</w:t>
            </w:r>
            <w:r>
              <w:rPr>
                <w:sz w:val="16"/>
              </w:rPr>
              <w:t>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222 574,08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222 574,08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189 916,34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189 916,34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73 930 880,50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73 930 880,50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94 607 435,00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94 607 435,00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31 240 874,12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Actions/operations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31 240 874,12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25 949 331,58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</w:t>
            </w:r>
            <w:r>
              <w:rPr>
                <w:sz w:val="16"/>
              </w:rPr>
              <w:t>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25 949 331,58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Общ размер на </w:t>
            </w:r>
            <w:r>
              <w:rPr>
                <w:b/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Actions/operations supported by FI (including the working capital finance and grant, </w:t>
            </w:r>
            <w:r>
              <w:rPr>
                <w:sz w:val="16"/>
              </w:rPr>
              <w:t>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8 612 674,23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8 612 674,23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</w:t>
            </w:r>
            <w:r>
              <w:rPr>
                <w:sz w:val="16"/>
              </w:rPr>
              <w:t xml:space="preserve">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2 616 176,94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2 616 176,94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lastRenderedPageBreak/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Actions/operations </w:t>
            </w:r>
            <w:r>
              <w:rPr>
                <w:sz w:val="16"/>
              </w:rPr>
              <w:lastRenderedPageBreak/>
              <w:t>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5 284 547,45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5 284 547,45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168 311 039,32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168 311 039,32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by FI (Number of </w:t>
            </w:r>
            <w:r>
              <w:rPr>
                <w:sz w:val="16"/>
              </w:rPr>
              <w:t>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by FI (Number of contracts signed with final recipients </w:t>
            </w:r>
            <w:r>
              <w:rPr>
                <w:sz w:val="16"/>
              </w:rPr>
              <w:t>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623,00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623,00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by FI (Number of contracts signed </w:t>
            </w:r>
            <w:r>
              <w:rPr>
                <w:b/>
                <w:sz w:val="16"/>
              </w:rPr>
              <w:t>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стопанствата/бенефициерите, </w:t>
            </w:r>
            <w:r>
              <w:rPr>
                <w:b/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final recipients supported </w:t>
            </w:r>
            <w:r>
              <w:rPr>
                <w:sz w:val="16"/>
              </w:rPr>
              <w:t>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final recipients supported by </w:t>
            </w:r>
            <w:r>
              <w:rPr>
                <w:sz w:val="16"/>
              </w:rPr>
              <w:t>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</w:t>
            </w:r>
            <w:r>
              <w:rPr>
                <w:b/>
                <w:sz w:val="16"/>
              </w:rPr>
              <w:t xml:space="preserve">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47 712 364,58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15 572 673,04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1 449 434,95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222 574,08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189 916,34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65 146 962,99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</w:t>
            </w:r>
            <w:r>
              <w:rPr>
                <w:sz w:val="16"/>
              </w:rPr>
              <w:t xml:space="preserve">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7 976 104,64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807 812,87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8 783 917,51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M06 — Развитие на стопанства и предприятия (член 19)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</w:t>
            </w:r>
            <w:r>
              <w:rPr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</w:t>
            </w:r>
            <w:r>
              <w:rPr>
                <w:sz w:val="16"/>
              </w:rPr>
              <w:t>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55 252 664,92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55 252 664,92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  <w:r>
              <w:rPr>
                <w:b/>
                <w:sz w:val="16"/>
              </w:rPr>
              <w:t xml:space="preserve">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</w:t>
            </w:r>
            <w:r>
              <w:rPr>
                <w:sz w:val="16"/>
              </w:rPr>
              <w:t xml:space="preserve">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55 252 664,92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55 252 664,92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5 125,00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7 852,00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5 125,00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5 125,00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final recipients </w:t>
            </w:r>
            <w:r>
              <w:rPr>
                <w:sz w:val="16"/>
              </w:rPr>
              <w:t>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 xml:space="preserve">стопанствата/бенефициерите,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Number of final recipients supported by FI (who </w:t>
            </w:r>
            <w:r>
              <w:rPr>
                <w:sz w:val="16"/>
              </w:rPr>
              <w:lastRenderedPageBreak/>
              <w:t>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7 852,00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7 852,00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</w:t>
            </w:r>
            <w:r>
              <w:rPr>
                <w:sz w:val="16"/>
              </w:rPr>
              <w:t xml:space="preserve">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33 673 299,95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21 579 364,97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5 125,00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</w:t>
            </w:r>
            <w:r>
              <w:rPr>
                <w:sz w:val="16"/>
              </w:rPr>
              <w:t xml:space="preserve">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5 125,00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М07 — Основни услуги и обновяване на селата в селските райони (член 20)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</w:t>
            </w:r>
            <w:r>
              <w:rPr>
                <w:b/>
                <w:sz w:val="16"/>
              </w:rPr>
              <w:t xml:space="preserve">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</w:t>
            </w:r>
            <w:r>
              <w:rPr>
                <w:b/>
                <w:sz w:val="16"/>
              </w:rPr>
              <w:t xml:space="preserve">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Actions/operations supported by FI (including the working capital finance and </w:t>
            </w:r>
            <w:r>
              <w:rPr>
                <w:sz w:val="16"/>
              </w:rPr>
              <w:t>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Actions/operations supported by FI (including the working </w:t>
            </w:r>
            <w:r>
              <w:rPr>
                <w:b/>
                <w:sz w:val="16"/>
              </w:rPr>
              <w:t>capital finance and grant, if any)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by </w:t>
            </w:r>
            <w:r>
              <w:rPr>
                <w:sz w:val="16"/>
              </w:rPr>
              <w:t>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</w:t>
            </w:r>
            <w:r>
              <w:rPr>
                <w:b/>
                <w:sz w:val="16"/>
              </w:rPr>
              <w:t>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by FI (Number of contracts signed with final </w:t>
            </w:r>
            <w:r>
              <w:rPr>
                <w:b/>
                <w:sz w:val="16"/>
              </w:rPr>
              <w:t>recipients (or for its benefit via guarantee))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lastRenderedPageBreak/>
              <w:t xml:space="preserve">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M07.1; M07.2; M07.4; </w:t>
            </w:r>
            <w:r>
              <w:rPr>
                <w:sz w:val="16"/>
              </w:rPr>
              <w:t>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</w:t>
            </w:r>
            <w:r>
              <w:rPr>
                <w:sz w:val="16"/>
              </w:rPr>
              <w:t>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</w:t>
            </w:r>
            <w:r>
              <w:rPr>
                <w:sz w:val="16"/>
              </w:rPr>
              <w:t xml:space="preserve">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M07.2; M07.3; </w:t>
            </w:r>
            <w:r>
              <w:rPr>
                <w:b/>
                <w:sz w:val="16"/>
              </w:rPr>
              <w:t>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Различни от </w:t>
            </w: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Различни от </w:t>
            </w:r>
            <w:r>
              <w:rPr>
                <w:sz w:val="16"/>
              </w:rPr>
              <w:lastRenderedPageBreak/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 Свръхвисокоскоростна широколентова мрежа (абонатен достъп/абонатна линия; &gt;/= </w:t>
            </w:r>
            <w:r>
              <w:rPr>
                <w:sz w:val="16"/>
              </w:rPr>
              <w:t>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ИКТ: Други видове инфраструктура за ИКТ (пасивна, информационен </w:t>
            </w:r>
            <w:r>
              <w:rPr>
                <w:sz w:val="16"/>
              </w:rPr>
              <w:t>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 Свръхвисокоскоростна </w:t>
            </w:r>
            <w:r>
              <w:rPr>
                <w:sz w:val="16"/>
              </w:rPr>
              <w:t>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Услуги за електронно </w:t>
            </w:r>
            <w:r>
              <w:rPr>
                <w:b/>
                <w:sz w:val="16"/>
              </w:rPr>
              <w:t>правителство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ИКТ: Други видове инфраструктура за ИКТ (пасивна, </w:t>
            </w:r>
            <w:r>
              <w:rPr>
                <w:b/>
                <w:sz w:val="16"/>
              </w:rPr>
              <w:t>информационен център...)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услуги/инфраструктура (ИТ </w:t>
            </w:r>
            <w:r>
              <w:rPr>
                <w:sz w:val="16"/>
              </w:rPr>
              <w:t>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</w:t>
            </w:r>
            <w:r>
              <w:rPr>
                <w:sz w:val="16"/>
              </w:rPr>
              <w:t>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</w:t>
            </w:r>
            <w:r>
              <w:rPr>
                <w:sz w:val="16"/>
              </w:rPr>
              <w:t xml:space="preserve">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O15 - Брой на </w:t>
            </w:r>
            <w:r>
              <w:rPr>
                <w:b/>
                <w:sz w:val="16"/>
              </w:rPr>
              <w:t>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М08 — Инвестиции в развитие на горските райони и подобряване на жизнеспособността на горите</w:t>
      </w:r>
      <w:r>
        <w:t xml:space="preserve"> (членове 21 — 26)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Total public expenditure of </w:t>
            </w:r>
            <w:r>
              <w:rPr>
                <w:b/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</w:t>
            </w:r>
            <w:r>
              <w:rPr>
                <w:sz w:val="16"/>
              </w:rPr>
              <w:t xml:space="preserve">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</w:t>
            </w:r>
            <w:r>
              <w:rPr>
                <w:sz w:val="16"/>
              </w:rPr>
              <w:t>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Actions/operations supported by FI (including the working capital finance and grant, if any)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by FI (Number of contracts signed with final recipients (or </w:t>
            </w:r>
            <w:r>
              <w:rPr>
                <w:sz w:val="16"/>
              </w:rPr>
              <w:t>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</w:t>
            </w:r>
            <w:r>
              <w:rPr>
                <w:b/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FI (Number of contracts signed with final recipients (or for its benefit via guarantee))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final recipients supported by FI </w:t>
            </w:r>
            <w:r>
              <w:rPr>
                <w:sz w:val="16"/>
              </w:rPr>
              <w:t>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 xml:space="preserve">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Number of final recipients </w:t>
            </w:r>
            <w:r>
              <w:rPr>
                <w:sz w:val="16"/>
              </w:rPr>
              <w:lastRenderedPageBreak/>
              <w:t>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само за </w:t>
            </w:r>
            <w:r>
              <w:rPr>
                <w:sz w:val="16"/>
              </w:rPr>
              <w:t>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480 591,00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стопанствата/бенефициерите,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O5 - Обща </w:t>
            </w:r>
            <w:r>
              <w:rPr>
                <w:b/>
                <w:sz w:val="16"/>
              </w:rPr>
              <w:t>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</w:t>
            </w:r>
            <w:r>
              <w:rPr>
                <w:b/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M16 — Сътрудничество (член 35)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897"/>
        <w:gridCol w:w="1620"/>
        <w:gridCol w:w="1239"/>
        <w:gridCol w:w="1396"/>
        <w:gridCol w:w="1863"/>
        <w:gridCol w:w="954"/>
        <w:gridCol w:w="826"/>
        <w:gridCol w:w="11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3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the support </w:t>
            </w:r>
            <w:r>
              <w:rPr>
                <w:sz w:val="16"/>
              </w:rPr>
              <w:t>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</w:t>
            </w:r>
            <w:r>
              <w:rPr>
                <w:sz w:val="16"/>
              </w:rPr>
              <w:t xml:space="preserve">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</w:t>
            </w:r>
            <w:r>
              <w:rPr>
                <w:sz w:val="16"/>
              </w:rPr>
              <w:lastRenderedPageBreak/>
              <w:t xml:space="preserve">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</w:t>
            </w:r>
            <w:r>
              <w:rPr>
                <w:sz w:val="16"/>
              </w:rPr>
              <w:t xml:space="preserve">подпомогнатите </w:t>
            </w:r>
            <w:r>
              <w:rPr>
                <w:sz w:val="16"/>
              </w:rPr>
              <w:lastRenderedPageBreak/>
              <w:t>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</w:t>
            </w:r>
            <w:r>
              <w:rPr>
                <w:sz w:val="16"/>
              </w:rPr>
              <w:lastRenderedPageBreak/>
              <w:t xml:space="preserve">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подпомогнатите операции за сътрудничество в рамките на ЕПИ (напр. пилотни проекти, разработване на </w:t>
            </w:r>
            <w:r>
              <w:rPr>
                <w:sz w:val="16"/>
              </w:rPr>
              <w:t>продукти...)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</w:t>
            </w:r>
            <w:r>
              <w:rPr>
                <w:sz w:val="16"/>
              </w:rPr>
              <w:lastRenderedPageBreak/>
              <w:t xml:space="preserve">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b/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оперативни групи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НПО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МСП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</w:t>
            </w:r>
            <w:r>
              <w:rPr>
                <w:sz w:val="16"/>
              </w:rPr>
              <w:lastRenderedPageBreak/>
              <w:t xml:space="preserve">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(други публични органи...)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Научноизследователски институти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by </w:t>
            </w:r>
            <w:r>
              <w:rPr>
                <w:sz w:val="16"/>
              </w:rPr>
              <w:t>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lastRenderedPageBreak/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</w:t>
            </w:r>
            <w:r>
              <w:rPr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</w:t>
            </w:r>
            <w:r>
              <w:rPr>
                <w:b/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M16.4; M16.5; </w:t>
            </w:r>
            <w:r>
              <w:rPr>
                <w:sz w:val="16"/>
              </w:rPr>
              <w:lastRenderedPageBreak/>
              <w:t>M16.6; M16.7;</w:t>
            </w:r>
            <w:r>
              <w:rPr>
                <w:sz w:val="16"/>
              </w:rPr>
              <w:t xml:space="preserve">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M16.4; </w:t>
            </w:r>
            <w:r>
              <w:rPr>
                <w:sz w:val="16"/>
              </w:rPr>
              <w:t>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</w:t>
            </w:r>
            <w:r>
              <w:rPr>
                <w:sz w:val="16"/>
              </w:rPr>
              <w:lastRenderedPageBreak/>
              <w:t>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M16.4; M16.5; M16.6; </w:t>
            </w:r>
            <w:r>
              <w:rPr>
                <w:sz w:val="16"/>
              </w:rPr>
              <w:t>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M16.2; M16.3; </w:t>
            </w:r>
            <w:r>
              <w:rPr>
                <w:b/>
                <w:sz w:val="16"/>
              </w:rPr>
              <w:t>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</w:t>
            </w:r>
            <w:r>
              <w:rPr>
                <w:sz w:val="16"/>
              </w:rPr>
              <w:t xml:space="preserve">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lastRenderedPageBreak/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</w:t>
            </w:r>
            <w:r>
              <w:rPr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</w:t>
            </w:r>
            <w:r>
              <w:rPr>
                <w:sz w:val="16"/>
              </w:rPr>
              <w:t xml:space="preserve">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O9 - Брой земеделски </w:t>
            </w:r>
            <w:r>
              <w:rPr>
                <w:sz w:val="16"/>
              </w:rPr>
              <w:lastRenderedPageBreak/>
              <w:t>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</w:t>
            </w:r>
            <w:r>
              <w:rPr>
                <w:sz w:val="16"/>
              </w:rPr>
              <w:t>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lastRenderedPageBreak/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lastRenderedPageBreak/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</w:t>
            </w:r>
            <w:r>
              <w:rPr>
                <w:sz w:val="16"/>
              </w:rPr>
              <w:t xml:space="preserve">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</w:t>
            </w:r>
            <w:r>
              <w:rPr>
                <w:b/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</w:t>
            </w:r>
            <w:r>
              <w:rPr>
                <w:sz w:val="16"/>
              </w:rPr>
              <w:t xml:space="preserve">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b/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</w:t>
            </w:r>
            <w:r>
              <w:rPr>
                <w:sz w:val="16"/>
              </w:rPr>
              <w:t xml:space="preserve">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lastRenderedPageBreak/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M16.9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  <w:r>
        <w:lastRenderedPageBreak/>
        <w:t>Таблица Б2.1: Реализирани</w:t>
      </w:r>
      <w:r>
        <w:t xml:space="preserve"> резултати в рамките на LEADER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2471"/>
        <w:gridCol w:w="1405"/>
        <w:gridCol w:w="1939"/>
        <w:gridCol w:w="1406"/>
        <w:gridCol w:w="874"/>
        <w:gridCol w:w="11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Реализирано изпълнение (кумулативно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</w:t>
            </w:r>
            <w:r>
              <w:rPr>
                <w:sz w:val="16"/>
              </w:rPr>
              <w:t>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Стартов пакет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стратегии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1 775 475,90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(2А),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(3Б),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(5Б), за която проектът допринася </w:t>
            </w:r>
            <w:r>
              <w:rPr>
                <w:sz w:val="16"/>
              </w:rPr>
              <w:t>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(5Г), за която проектът </w:t>
            </w:r>
            <w:r>
              <w:rPr>
                <w:sz w:val="16"/>
              </w:rPr>
              <w:t>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(6А), за която </w:t>
            </w:r>
            <w:r>
              <w:rPr>
                <w:sz w:val="16"/>
              </w:rPr>
              <w:t>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(6В), за </w:t>
            </w:r>
            <w:r>
              <w:rPr>
                <w:sz w:val="16"/>
              </w:rPr>
              <w:t>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техническа помощ за подготвителни </w:t>
            </w:r>
            <w:r>
              <w:rPr>
                <w:sz w:val="16"/>
              </w:rPr>
              <w:t>дейности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междутериториално сътрудничество (проекти)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транснационално сътрудничество (проекти)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стимулиране на интерес в рамките на стратегиите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текущите разходи в рамките на стратегиите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1 329 555,50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O18</w:t>
            </w:r>
            <w:r>
              <w:rPr>
                <w:sz w:val="16"/>
              </w:rPr>
              <w:t xml:space="preserve"> - Брой на жителите, обхванати от местните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982 230,00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многофондови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</w:t>
            </w:r>
            <w:r>
              <w:rPr>
                <w:sz w:val="16"/>
              </w:rPr>
              <w:t>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подпомогнатите </w:t>
            </w:r>
            <w:r>
              <w:rPr>
                <w:sz w:val="16"/>
              </w:rPr>
              <w:t>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(1В), за която проектът </w:t>
            </w:r>
            <w:r>
              <w:rPr>
                <w:sz w:val="16"/>
              </w:rPr>
              <w:t>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(2А),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(3Б),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</w:t>
            </w:r>
            <w:r>
              <w:rPr>
                <w:sz w:val="16"/>
              </w:rPr>
              <w:t>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</w:t>
            </w:r>
            <w:r>
              <w:rPr>
                <w:sz w:val="16"/>
              </w:rPr>
              <w:t>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(5А), за </w:t>
            </w:r>
            <w:r>
              <w:rPr>
                <w:sz w:val="16"/>
              </w:rPr>
              <w:t>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подпомогнатите проекти в </w:t>
            </w:r>
            <w:r>
              <w:rPr>
                <w:sz w:val="16"/>
              </w:rPr>
              <w:t>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(5Г), за която проектът допринася </w:t>
            </w:r>
            <w:r>
              <w:rPr>
                <w:sz w:val="16"/>
              </w:rPr>
              <w:t>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</w:t>
            </w:r>
            <w:r>
              <w:rPr>
                <w:sz w:val="16"/>
              </w:rPr>
              <w:t>основа на акцентираната област (6А),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</w:t>
            </w:r>
            <w:r>
              <w:rPr>
                <w:sz w:val="16"/>
              </w:rPr>
              <w:t>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</w:t>
            </w:r>
            <w:r>
              <w:rPr>
                <w:sz w:val="16"/>
              </w:rPr>
              <w:t>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НПО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</w:t>
            </w:r>
            <w:r>
              <w:rPr>
                <w:sz w:val="16"/>
              </w:rPr>
              <w:t xml:space="preserve">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Публични институции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МСП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O23 - Единен номер на местните групи</w:t>
            </w:r>
            <w:r>
              <w:rPr>
                <w:sz w:val="16"/>
              </w:rPr>
              <w:t xml:space="preserve"> за действие, участващи в проект за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O23 - Единен номер на местните групи за действие, участващи в проект за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  <w:t xml:space="preserve">Таблица Б2.2: Данни в </w:t>
      </w:r>
      <w:r>
        <w:t>рамките на LEADER за наблюдение на приноса за областите с поставен акцент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8"/>
        <w:gridCol w:w="1598"/>
        <w:gridCol w:w="2664"/>
        <w:gridCol w:w="2131"/>
        <w:gridCol w:w="106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Стойност (общо за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T2: общ брой на</w:t>
            </w:r>
            <w:r>
              <w:rPr>
                <w:sz w:val="16"/>
              </w:rPr>
              <w:t xml:space="preserve"> операциите за сътрудничество, подпомагани по мярката за сътрудничество (член 35 от Регламент (ЕС) № 1305/2013) (групи, мрежи/клъстери, пилотни проекти...) (област с 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final recipients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final recipients supported by FI (who signed contract)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Actions/operations supported by </w:t>
            </w:r>
            <w:r>
              <w:rPr>
                <w:sz w:val="16"/>
              </w:rPr>
              <w:t>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</w:t>
            </w:r>
            <w:r>
              <w:rPr>
                <w:sz w:val="16"/>
              </w:rPr>
              <w:t>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R21 / T20: работни места, разкрити в </w:t>
            </w:r>
            <w:r>
              <w:rPr>
                <w:sz w:val="16"/>
              </w:rPr>
              <w:t>подпомогнатите проекти (област с поставен акцент 6А)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</w:t>
            </w:r>
            <w:r>
              <w:rPr>
                <w:sz w:val="16"/>
              </w:rPr>
              <w:t>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IT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Таблица Б2.3: Мониторинг на техническата помощ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3"/>
        <w:gridCol w:w="1493"/>
        <w:gridCol w:w="2560"/>
        <w:gridCol w:w="2027"/>
        <w:gridCol w:w="2027"/>
        <w:gridCol w:w="105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Таблица Б2.3 Стойност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административни разходи (за персонал, </w:t>
            </w:r>
            <w:r>
              <w:rPr>
                <w:sz w:val="16"/>
              </w:rPr>
              <w:t>материали...)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3 649 667,00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разходи (проучвания, обучения...)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3 925 114,00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 подпомагане за техническа помощ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7 574 781,00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 подпомагане за техническа помощ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които подпомагат създаването и привеждането в действие на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Консултации със </w:t>
            </w:r>
            <w:r>
              <w:rPr>
                <w:sz w:val="16"/>
              </w:rPr>
              <w:t>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насочените към обмен и разпространение на заключенията </w:t>
            </w:r>
            <w:r>
              <w:rPr>
                <w:sz w:val="16"/>
              </w:rPr>
              <w:t>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посветените на консултанти и/или услуги в подкрепа </w:t>
            </w:r>
            <w:r>
              <w:rPr>
                <w:sz w:val="16"/>
              </w:rPr>
              <w:t>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</w:t>
            </w:r>
            <w:r>
              <w:rPr>
                <w:sz w:val="16"/>
              </w:rPr>
              <w:t xml:space="preserve">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</w:t>
            </w:r>
            <w:r>
              <w:rPr>
                <w:sz w:val="16"/>
              </w:rPr>
              <w:t xml:space="preserve">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Брой </w:t>
            </w:r>
            <w:r>
              <w:rPr>
                <w:sz w:val="16"/>
              </w:rPr>
              <w:t>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проявите, </w:t>
            </w:r>
            <w:r>
              <w:rPr>
                <w:sz w:val="16"/>
              </w:rPr>
              <w:t>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проявите, организирани </w:t>
            </w:r>
            <w:r>
              <w:rPr>
                <w:sz w:val="16"/>
              </w:rPr>
              <w:t>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</w:t>
            </w:r>
            <w:r>
              <w:rPr>
                <w:sz w:val="16"/>
              </w:rPr>
              <w:t>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</w:t>
            </w:r>
            <w:r>
              <w:rPr>
                <w:sz w:val="16"/>
              </w:rPr>
              <w:t xml:space="preserve">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Брой </w:t>
            </w:r>
            <w:r>
              <w:rPr>
                <w:sz w:val="16"/>
              </w:rPr>
              <w:t>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примерите на проекти, събрани и разпространявани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Брой на инструментите за комуникация в рамките на националната мрежа за селските </w:t>
            </w:r>
            <w:r>
              <w:rPr>
                <w:sz w:val="16"/>
              </w:rPr>
              <w:t>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публикации: списания, брошури, </w:t>
            </w:r>
            <w:r>
              <w:rPr>
                <w:sz w:val="16"/>
              </w:rPr>
              <w:t>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</w:t>
            </w:r>
            <w:r>
              <w:rPr>
                <w:sz w:val="16"/>
              </w:rPr>
              <w:t xml:space="preserve">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O25 - Брой на инструментите за комуникация в рамките на </w:t>
            </w:r>
            <w:r>
              <w:rPr>
                <w:sz w:val="16"/>
              </w:rPr>
              <w:t>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O26 - Брой на</w:t>
            </w:r>
            <w:r>
              <w:rPr>
                <w:sz w:val="16"/>
              </w:rPr>
              <w:t xml:space="preserve"> дейностите в рамките на Европейската мрежа за развитие на селските райони, в които е участвала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O26 - Брой на дейностите в рамките на Европейската мрежа за развитие на селските райони, в които е </w:t>
            </w:r>
            <w:r>
              <w:rPr>
                <w:sz w:val="16"/>
              </w:rPr>
              <w:t>участвала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 които НМСР са участвали активно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Таблица Б3: Годишен мониторинг по области, многогодишно и по животински единици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9"/>
        <w:gridCol w:w="1119"/>
        <w:gridCol w:w="2373"/>
        <w:gridCol w:w="1583"/>
        <w:gridCol w:w="1534"/>
        <w:gridCol w:w="954"/>
        <w:gridCol w:w="826"/>
        <w:gridCol w:w="1148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Размер </w:t>
            </w:r>
            <w:r>
              <w:rPr>
                <w:sz w:val="16"/>
              </w:rPr>
              <w:t>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Реализирано изпълнение (ГОДИШНО)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само </w:t>
            </w:r>
            <w:r>
              <w:rPr>
                <w:sz w:val="16"/>
              </w:rPr>
              <w:t>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</w:t>
            </w:r>
            <w:r>
              <w:rPr>
                <w:sz w:val="16"/>
              </w:rPr>
              <w:t>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</w:t>
            </w:r>
            <w:r>
              <w:rPr>
                <w:sz w:val="16"/>
              </w:rPr>
              <w:t>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62 205,00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62 205,00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</w:t>
            </w:r>
            <w:r>
              <w:rPr>
                <w:b/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17 749 238,00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17 749 238,00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ресурси, включително интегрирано производство (намаляване на </w:t>
            </w:r>
            <w:r>
              <w:rPr>
                <w:sz w:val="16"/>
              </w:rPr>
              <w:t>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Почвена покривка, техники за оран, </w:t>
            </w:r>
            <w:r>
              <w:rPr>
                <w:sz w:val="16"/>
              </w:rPr>
              <w:t>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Практики за </w:t>
            </w:r>
            <w:r>
              <w:rPr>
                <w:b/>
                <w:sz w:val="16"/>
              </w:rPr>
              <w:t>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Намаляване на поливните площи и/или нивото на напояване, техники за </w:t>
            </w:r>
            <w:r>
              <w:rPr>
                <w:b/>
                <w:sz w:val="16"/>
              </w:rPr>
              <w:t>напояване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10 260 180,16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Поддържане на земеделие с висока природна стойност, обработваема земя и ливади (напр. техники за коситба, оставяне на стърнища в </w:t>
            </w:r>
            <w:r>
              <w:rPr>
                <w:sz w:val="16"/>
              </w:rPr>
              <w:t>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Поддържане </w:t>
            </w:r>
            <w:r>
              <w:rPr>
                <w:b/>
                <w:sz w:val="16"/>
              </w:rPr>
              <w:t>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10 260 180,16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5 826 388,96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5 826 388,96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Режими за хранене на животните, </w:t>
            </w:r>
            <w:r>
              <w:rPr>
                <w:sz w:val="16"/>
              </w:rPr>
              <w:t>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2 090 368,15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</w:t>
            </w:r>
            <w:r>
              <w:rPr>
                <w:b/>
                <w:sz w:val="16"/>
              </w:rPr>
              <w:t>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2 090 368,15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ресурси, включително интегрирано производство </w:t>
            </w:r>
            <w:r>
              <w:rPr>
                <w:sz w:val="16"/>
              </w:rPr>
              <w:t>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</w:t>
            </w:r>
            <w:r>
              <w:rPr>
                <w:sz w:val="16"/>
              </w:rPr>
              <w:t>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Почвена покривка, техники за оран, плитка оран, </w:t>
            </w:r>
            <w:r>
              <w:rPr>
                <w:sz w:val="16"/>
              </w:rPr>
              <w:t>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Намаляване на поливните </w:t>
            </w:r>
            <w:r>
              <w:rPr>
                <w:sz w:val="16"/>
              </w:rPr>
              <w:t>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</w:t>
            </w:r>
            <w:r>
              <w:rPr>
                <w:sz w:val="16"/>
              </w:rPr>
              <w:t>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пасищата, </w:t>
            </w:r>
            <w:r>
              <w:rPr>
                <w:sz w:val="16"/>
              </w:rPr>
              <w:t>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ландшафта, местообитанията, пасищата, </w:t>
            </w:r>
            <w:r>
              <w:rPr>
                <w:b/>
                <w:sz w:val="16"/>
              </w:rPr>
              <w:t>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пасищата, земеделие с </w:t>
            </w:r>
            <w:r>
              <w:rPr>
                <w:sz w:val="16"/>
              </w:rPr>
              <w:t>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</w:t>
            </w:r>
            <w:r>
              <w:rPr>
                <w:sz w:val="16"/>
              </w:rPr>
              <w:t>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180 832,00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Поддържане на земеделие с висока природна стойност, обработваема земя и ливади (напр. техники за коситба, </w:t>
            </w:r>
            <w:r>
              <w:rPr>
                <w:sz w:val="16"/>
              </w:rPr>
              <w:t>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ландшафта, местообитанията, пасищата, земеделие с висока природна </w:t>
            </w:r>
            <w:r>
              <w:rPr>
                <w:b/>
                <w:sz w:val="16"/>
              </w:rPr>
              <w:t>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180 832,00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28 268,73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28 268,73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</w:t>
            </w:r>
            <w:r>
              <w:rPr>
                <w:sz w:val="16"/>
              </w:rPr>
              <w:t xml:space="preserve">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22 863,00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стопанства, интегрирани </w:t>
            </w:r>
            <w:r>
              <w:rPr>
                <w:b/>
                <w:sz w:val="16"/>
              </w:rPr>
              <w:t>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22 863,00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O6 - Подпомагана физическа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231 964,00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1 865,00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3 675,00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1 313 310,99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1 313 310,99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4 703 385,12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4 703 385,12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1 700,00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1 700,00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35 252 016,00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35 252 016,00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4 154,00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4 154,00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74 697,73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74 697,73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7 282,09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7 282,09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11 798,00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11 798,00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22 216 943,00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22 216 943,00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451 315,00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451 315,00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34 550,00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34 550,00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34 653 493,00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34 653 493,00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354 465,75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354 465,75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10 749 354,00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10 749 354,00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260 051,64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260 051,64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O8 - Брой на подпомаганите животински </w:t>
            </w:r>
            <w:r>
              <w:rPr>
                <w:b/>
                <w:sz w:val="16"/>
              </w:rPr>
              <w:t>единици (ЖЕ)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  <w:t xml:space="preserve">Таблица Б4: Общо публични разходи на операциите, които имат допълнителен принос за областите с поставен </w:t>
      </w:r>
      <w:r>
        <w:t>акцент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DE5B3A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Общо публични разходи — кумулативни данни за ГОДИНА 2017 (общо програмирани за акцентираната област)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3 192 124,00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70 072 063,55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50 221 682,99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8 044 685,64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6 376,00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244 974 851,23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70 787,00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2 487 200,82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452 527,08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12 074 864,93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710 544,00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3 105 031,40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DE5B3A"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 xml:space="preserve">Разбивка P4: Общо публични разходи — кумулативни данни за ГОДИНА 2017 (общо публични разходи </w:t>
            </w:r>
            <w:r>
              <w:rPr>
                <w:sz w:val="16"/>
              </w:rPr>
              <w:t>за всички операции P4 с принос за всяка акцентна област — двойно зачитане)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45 169 921,00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56 857 718,00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56 857 718,00</w:t>
            </w:r>
          </w:p>
        </w:tc>
      </w:tr>
    </w:tbl>
    <w:p w:rsidR="00DE5B3A" w:rsidRDefault="00997227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DE5B3A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Област с </w:t>
            </w:r>
            <w:r>
              <w:rPr>
                <w:sz w:val="16"/>
              </w:rPr>
              <w:t>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Общо публични разходи — кумулативни данни за ГОДИНА 2017 (общо публични разходи за всички операции с допълнителен принос за други акцентни области — двойно зачитане)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3 199 351,00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42 986 191,00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2 479 822,00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65 279 612,00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</w:t>
            </w:r>
            <w:r>
              <w:rPr>
                <w:sz w:val="16"/>
              </w:rPr>
              <w:t xml:space="preserve">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19 437 413,00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pPr>
        <w:pStyle w:val="Heading2"/>
      </w:pPr>
      <w:r>
        <w:br w:type="page"/>
      </w:r>
      <w:bookmarkStart w:id="7" w:name="_Toc256000012"/>
      <w:bookmarkStart w:id="8" w:name="_Toc256000003"/>
      <w:r>
        <w:t>Таблица В: Разбивка за съответните резултати и мерки по типове области, пол и/или възраст — КУМУЛАТИВНИ ДАННИ</w:t>
      </w:r>
      <w:bookmarkEnd w:id="7"/>
      <w:bookmarkEnd w:id="8"/>
    </w:p>
    <w:p w:rsidR="00DE5B3A" w:rsidRDefault="00997227">
      <w:r>
        <w:t xml:space="preserve">Таблица В1.1: </w:t>
      </w:r>
      <w:r>
        <w:t>Мониторинг на резултатите, разбити по вид на областта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1477"/>
        <w:gridCol w:w="2544"/>
        <w:gridCol w:w="2011"/>
        <w:gridCol w:w="2011"/>
        <w:gridCol w:w="113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34 705 113,93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M04.2; M04.3; </w:t>
            </w: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Планински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17 342 974,34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Специфични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различно от 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13 961 087,16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t>M04.3;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66 009 175,43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18 510 000,00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Планински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10 447 500,00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Специфични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различно от 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3 310 091,52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32 267 591,52</w:t>
            </w:r>
          </w:p>
        </w:tc>
      </w:tr>
    </w:tbl>
    <w:p w:rsidR="00DE5B3A" w:rsidRDefault="00997227">
      <w:r>
        <w:br w:type="page"/>
        <w:t>ТАБЛИЦА В1.2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61 261 415,10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ТАБЛИЦА В1.3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DE5B3A"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326 871 351,39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M06.1; M06.3; M10.1; </w:t>
            </w:r>
            <w:r>
              <w:rPr>
                <w:sz w:val="16"/>
              </w:rPr>
              <w:t>M10.2; M12.1; M12.2; M12.3; M13.1; M13.2; M13.3; M14.1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от които биологични стопанства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35 164 164,85</w:t>
            </w:r>
          </w:p>
        </w:tc>
      </w:tr>
    </w:tbl>
    <w:p w:rsidR="00DE5B3A" w:rsidRDefault="00997227">
      <w:r>
        <w:br w:type="page"/>
        <w:t>Таблица В2.1: Мониторинг на резултатите, разбити по възраст и пол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2"/>
        <w:gridCol w:w="1122"/>
        <w:gridCol w:w="2373"/>
        <w:gridCol w:w="1471"/>
        <w:gridCol w:w="1656"/>
        <w:gridCol w:w="954"/>
        <w:gridCol w:w="826"/>
        <w:gridCol w:w="1132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</w:t>
            </w:r>
            <w:r>
              <w:rPr>
                <w:sz w:val="16"/>
              </w:rPr>
              <w:t xml:space="preserve">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</w:t>
            </w:r>
            <w:r>
              <w:rPr>
                <w:sz w:val="16"/>
              </w:rPr>
              <w:t>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стопанствата/бенефициерите, получаващи </w:t>
            </w:r>
            <w:r>
              <w:rPr>
                <w:b/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496,00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</w:t>
            </w:r>
            <w:r>
              <w:rPr>
                <w:sz w:val="16"/>
              </w:rPr>
              <w:t xml:space="preserve">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</w:t>
            </w:r>
            <w:r>
              <w:rPr>
                <w:b/>
                <w:sz w:val="16"/>
              </w:rPr>
              <w:t xml:space="preserve">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1 531,00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34,00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698,00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507,00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1 357,00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Други нефизически </w:t>
            </w:r>
            <w:r>
              <w:rPr>
                <w:sz w:val="16"/>
              </w:rPr>
              <w:t>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</w:t>
            </w:r>
            <w:r>
              <w:rPr>
                <w:sz w:val="16"/>
              </w:rPr>
              <w:t xml:space="preserve">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</w:t>
            </w:r>
            <w:r>
              <w:rPr>
                <w:sz w:val="16"/>
              </w:rPr>
              <w:t xml:space="preserve">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</w:t>
            </w:r>
            <w:r>
              <w:rPr>
                <w:sz w:val="16"/>
              </w:rPr>
              <w:t xml:space="preserve"> лица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Таблица В2.2: Мониторинг на резултатите, разбити по вид на земеделския отрасъл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1477"/>
        <w:gridCol w:w="2544"/>
        <w:gridCol w:w="2011"/>
        <w:gridCol w:w="2011"/>
        <w:gridCol w:w="113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9 687 462,82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operations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9 687 462,82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3 842 551,45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3 842 551,45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the support </w:t>
            </w:r>
            <w:r>
              <w:rPr>
                <w:sz w:val="16"/>
              </w:rPr>
              <w:t>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5 377 553,86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5 377 553,86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M04.2; </w:t>
            </w: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9 404 011,35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</w:t>
            </w:r>
            <w:r>
              <w:rPr>
                <w:sz w:val="16"/>
              </w:rPr>
              <w:t>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9 404 011,35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4 876 994,86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4 876 994,86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</w:t>
            </w:r>
            <w:r>
              <w:rPr>
                <w:sz w:val="16"/>
              </w:rPr>
              <w:t xml:space="preserve">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8 783 917,52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Неселскостопански сектор </w:t>
            </w:r>
            <w:r>
              <w:rPr>
                <w:sz w:val="16"/>
              </w:rPr>
              <w:t>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8 783 917,52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the </w:t>
            </w:r>
            <w:r>
              <w:rPr>
                <w:sz w:val="16"/>
              </w:rPr>
              <w:t>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10 376 749,62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10 376 749,62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20 462 654,27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M04.2; </w:t>
            </w: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20 462 654,27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the support provided </w:t>
            </w:r>
            <w:r>
              <w:rPr>
                <w:sz w:val="16"/>
              </w:rPr>
              <w:t>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1 118 984,77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1 118 984,77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73 930 880,52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Total public expenditure of operations supported by </w:t>
            </w:r>
            <w:r>
              <w:rPr>
                <w:b/>
                <w:sz w:val="16"/>
              </w:rPr>
              <w:t>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73 930 880,52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</w:t>
            </w:r>
            <w:r>
              <w:rPr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</w:t>
            </w:r>
            <w:r>
              <w:rPr>
                <w:sz w:val="16"/>
              </w:rPr>
              <w:t>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</w:t>
            </w:r>
            <w:r>
              <w:rPr>
                <w:sz w:val="16"/>
              </w:rPr>
              <w:t xml:space="preserve">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</w:t>
            </w:r>
            <w:r>
              <w:rPr>
                <w:b/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</w:t>
            </w:r>
            <w:r>
              <w:rPr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Неселскостопански сектор </w:t>
            </w:r>
            <w:r>
              <w:rPr>
                <w:b/>
                <w:sz w:val="16"/>
              </w:rPr>
              <w:t>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</w:t>
            </w:r>
            <w:r>
              <w:rPr>
                <w:sz w:val="16"/>
              </w:rPr>
              <w:t>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получаващи </w:t>
            </w:r>
            <w:r>
              <w:rPr>
                <w:b/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</w:t>
            </w:r>
            <w:r>
              <w:rPr>
                <w:sz w:val="16"/>
              </w:rPr>
              <w:t xml:space="preserve">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</w:t>
            </w:r>
            <w:r>
              <w:rPr>
                <w:b/>
                <w:sz w:val="16"/>
              </w:rPr>
              <w:t xml:space="preserve">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3 405 000,00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3 405 000,00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1 690 000,00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1 690 000,00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4 142 500,00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Amount committed for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4 142 500,00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927 500,00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operations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927 500,00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11 225 091,52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11 225 091,52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Amount </w:t>
            </w:r>
            <w:r>
              <w:rPr>
                <w:sz w:val="16"/>
              </w:rPr>
              <w:t>committed for Financial Instrument in the Funding Agreement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</w:t>
            </w:r>
            <w:r>
              <w:rPr>
                <w:sz w:val="16"/>
              </w:rPr>
              <w:t>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2 350 000,00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2 350 000,00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Други трайни </w:t>
            </w:r>
            <w:r>
              <w:rPr>
                <w:b/>
                <w:sz w:val="16"/>
              </w:rPr>
              <w:t>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8 497 500,00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8 497 500,00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Други трайни </w:t>
            </w:r>
            <w:r>
              <w:rPr>
                <w:sz w:val="16"/>
              </w:rPr>
              <w:t>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operations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32 267 591,52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32 267 591,52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</w:t>
            </w:r>
            <w:r>
              <w:rPr>
                <w:b/>
                <w:sz w:val="16"/>
              </w:rPr>
              <w:t>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</w:t>
            </w:r>
            <w:r>
              <w:rPr>
                <w:sz w:val="16"/>
              </w:rPr>
              <w:t>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actions/operations </w:t>
            </w:r>
            <w:r>
              <w:rPr>
                <w:sz w:val="16"/>
              </w:rPr>
              <w:t>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actions/operations supported </w:t>
            </w:r>
            <w:r>
              <w:rPr>
                <w:sz w:val="16"/>
              </w:rPr>
              <w:t>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Смесен </w:t>
            </w:r>
            <w:r>
              <w:rPr>
                <w:b/>
                <w:sz w:val="16"/>
              </w:rPr>
              <w:t>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1 032,00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1 032,00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Неселскостопански сектор (хранително-вкусова </w:t>
            </w:r>
            <w:r>
              <w:rPr>
                <w:b/>
                <w:sz w:val="16"/>
              </w:rPr>
              <w:t>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получаващи </w:t>
            </w:r>
            <w:r>
              <w:rPr>
                <w:b/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206,00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748,00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748,00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Други трайни </w:t>
            </w:r>
            <w:r>
              <w:rPr>
                <w:sz w:val="16"/>
              </w:rPr>
              <w:t>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2 888,00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2 888,00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grants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2 888,00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FI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  <w:t xml:space="preserve">Таблица В2.3: Мониторинг на резултатите, разбити по </w:t>
      </w:r>
      <w:r>
        <w:t>размер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1477"/>
        <w:gridCol w:w="2544"/>
        <w:gridCol w:w="2011"/>
        <w:gridCol w:w="2011"/>
        <w:gridCol w:w="1136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28 360 872,39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</w:t>
            </w:r>
            <w:r>
              <w:rPr>
                <w:sz w:val="16"/>
              </w:rPr>
              <w:t xml:space="preserve">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28 360 872,39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7 624 507,65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7 624 507,65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the support </w:t>
            </w:r>
            <w:r>
              <w:rPr>
                <w:sz w:val="16"/>
              </w:rPr>
              <w:t>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7 933 548,48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7 933 548,48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5 157 916,26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</w:t>
            </w:r>
            <w:r>
              <w:rPr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5 157 916,26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16 070 118,20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16 070 118,20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65 146 962,98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65 146 962,98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&gt;= 20 ha до &lt; 50 </w:t>
            </w:r>
            <w:r>
              <w:rPr>
                <w:b/>
                <w:sz w:val="16"/>
              </w:rPr>
              <w:t>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20 ha </w:t>
            </w:r>
            <w:r>
              <w:rPr>
                <w:sz w:val="16"/>
              </w:rPr>
              <w:t>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 5 </w:t>
            </w:r>
            <w:r>
              <w:rPr>
                <w:sz w:val="16"/>
              </w:rPr>
              <w:t>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</w:t>
            </w:r>
            <w:r>
              <w:rPr>
                <w:b/>
                <w:sz w:val="16"/>
              </w:rPr>
              <w:t>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</w:t>
            </w:r>
            <w:r>
              <w:rPr>
                <w:b/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30 030 092,00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30 030 092,00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</w:t>
            </w:r>
            <w:r>
              <w:rPr>
                <w:sz w:val="16"/>
              </w:rPr>
              <w:t>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642 500,00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642 500,00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</w:t>
            </w:r>
            <w:r>
              <w:rPr>
                <w:b/>
                <w:sz w:val="16"/>
              </w:rPr>
              <w:t xml:space="preserve">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</w:t>
            </w:r>
            <w:r>
              <w:rPr>
                <w:sz w:val="16"/>
              </w:rPr>
              <w:t xml:space="preserve">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1 045 000,00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Total public expenditure of </w:t>
            </w:r>
            <w:r>
              <w:rPr>
                <w:sz w:val="16"/>
              </w:rPr>
              <w:t>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1 045 000,00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120 000,00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Total public expenditure of the support</w:t>
            </w:r>
            <w:r>
              <w:rPr>
                <w:sz w:val="16"/>
              </w:rPr>
              <w:t xml:space="preserve"> provided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32 267 592,00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operations supported by grants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32 267 592,00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Total public expenditure of the support provided by FI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2 685,00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2 685,00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actions/operations </w:t>
            </w:r>
            <w:r>
              <w:rPr>
                <w:sz w:val="16"/>
              </w:rPr>
              <w:t>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93,00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</w:t>
            </w:r>
            <w:r>
              <w:rPr>
                <w:sz w:val="16"/>
              </w:rPr>
              <w:t>actions/operations supported by FI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Number of </w:t>
            </w:r>
            <w:r>
              <w:rPr>
                <w:sz w:val="16"/>
              </w:rPr>
              <w:t>actions/operations supported by grants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Number of actions/operations supported by FI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2 888,00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grants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2 888,00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Number of actions/operations supported by FI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Таблица C2.4: Наблюдение на подпомаганите операции за интеграция на граждани на трети държави (ГТД) (изменен член 14 от Регламент 808/2014) — КУМУЛАТИВНО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DE5B3A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</w:t>
            </w:r>
            <w:r>
              <w:rPr>
                <w:sz w:val="16"/>
              </w:rPr>
              <w:t>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Кумулативно за 2014-2017 г.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</w:t>
            </w:r>
            <w:r>
              <w:rPr>
                <w:sz w:val="16"/>
              </w:rPr>
              <w:t>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на </w:t>
            </w:r>
            <w:r>
              <w:rPr>
                <w:sz w:val="16"/>
              </w:rPr>
              <w:t>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</w:t>
            </w:r>
            <w:r>
              <w:rPr>
                <w:b/>
                <w:sz w:val="16"/>
              </w:rPr>
              <w:t xml:space="preserve"> в обучения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DE5B3A" w:rsidRDefault="00997227">
      <w:pPr>
        <w:pStyle w:val="Heading2"/>
      </w:pPr>
      <w:r>
        <w:br w:type="page"/>
      </w:r>
      <w:bookmarkStart w:id="9" w:name="_Toc256000013"/>
      <w:bookmarkStart w:id="10" w:name="_Toc256000004"/>
      <w:r>
        <w:t>Таблица Г: Напредък към постигане на целите</w:t>
      </w:r>
      <w:bookmarkEnd w:id="9"/>
      <w:bookmarkEnd w:id="10"/>
      <w:r>
        <w:t xml:space="preserve"> </w:t>
      </w:r>
    </w:p>
    <w:p w:rsidR="00DE5B3A" w:rsidRDefault="00997227">
      <w:r>
        <w:t>Одобрени операции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Въз основа на одобрените операции (Cumulative 2014-2017 г.)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1 110,00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2 727,00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</w:t>
            </w:r>
            <w:r>
              <w:rPr>
                <w:sz w:val="16"/>
              </w:rPr>
              <w:t>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13 557 418,00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3 679 321,00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</w:t>
            </w:r>
            <w:r>
              <w:rPr>
                <w:sz w:val="16"/>
              </w:rPr>
              <w:t>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r>
        <w:br w:type="page"/>
        <w:t>Реализирани целеви стойности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Въз основа на реализираната целева стойност от приключени операции*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T1: процент на разходи по членове 14, 15 и 35 от </w:t>
            </w:r>
            <w:r>
              <w:rPr>
                <w:sz w:val="16"/>
              </w:rPr>
              <w:t>Регламент (ЕС) № 1305/2013 във връзка с общите разходи за ПРСР (област с поставен акцент 1А)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0,11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T2: общ брой на операциите за сътрудничество, подпомагани по мярката за сътрудничество (член 35 от Регламент (ЕС) № 1305/2013) (групи, мрежи/клъстери,</w:t>
            </w:r>
            <w:r>
              <w:rPr>
                <w:sz w:val="16"/>
              </w:rPr>
              <w:t xml:space="preserve"> пилотни проекти...) (област с 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T3: общ брой на участниците в обучения съгласно член 14 от Регламент (ЕС) № 1305/2013 (област с поставен акцент 1В)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земеделските стопанства, получаващи подпомагане по ПРСР</w:t>
            </w:r>
            <w:r>
              <w:rPr>
                <w:sz w:val="16"/>
              </w:rPr>
              <w:t xml:space="preserve"> за инвестиции в преструктуриране или модернизация (област с 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405,00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 / T4: процент на земеделските стопанства, получаващи подпомагане по ПРСР за инвестиции в преструктуриране или модернизация (област с 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0,11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R3 / T5: процент на земеделските стопанства, разполагащи с бизнес план за развитие/инвестиции за млади земеделски стопани, подпомагани по ПРСР (област с поставен акцент 2Б)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R4 / T6: процент на земеделските стопанства, получаващи </w:t>
            </w:r>
            <w:r>
              <w:rPr>
                <w:sz w:val="16"/>
              </w:rPr>
              <w:t>подпомагане по схеми за качество, местни пазари и къси вериги на доставки и групи/организации на производителите (област с поставен акцент 3A)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R5 / T7: процент на стопанствата, които участват в схеми за управление на риска (област с поставен </w:t>
            </w:r>
            <w:r>
              <w:rPr>
                <w:sz w:val="16"/>
              </w:rPr>
              <w:t>акцент 3Б)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гори/други залесени площи, обхванати от договори за управление с цел подкрепа на биологичното разнообразие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R6 / T8: процент на гори или други залесени райони, обхванати от договори за </w:t>
            </w:r>
            <w:r>
              <w:rPr>
                <w:sz w:val="16"/>
              </w:rPr>
              <w:t>управление в подкрепа на биологичното разнообразие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в подкрепа на биологичното разнообразие и/или ландшафти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736 989,00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R7 / T9: процент на земеделската земя, обхваната от договори за управление в подкрепа на биологичното разнообразие и/или ландшафти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16,47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с цел подобряване на управл</w:t>
            </w:r>
            <w:r>
              <w:rPr>
                <w:sz w:val="16"/>
              </w:rPr>
              <w:t>ението на водите (ha)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110 248,60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R8 / T10: процент на земеделската земя, обхваната от договори за управление с цел подобряване на управлението на водите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горска земя, обхваната</w:t>
            </w:r>
            <w:r>
              <w:rPr>
                <w:sz w:val="16"/>
              </w:rPr>
              <w:t xml:space="preserve"> от договори за управление с цел подобряване на управлението на водите (ha)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R9 / T11: процент на горската земя, обхваната от договори за управление с цел подобряване на управлението на водите (област с поставен ак</w:t>
            </w:r>
            <w:r>
              <w:rPr>
                <w:sz w:val="16"/>
              </w:rPr>
              <w:t>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с цел подобряване на управлението на почвите и/или предотвратяване на почвената ерозия 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110 248,60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R10 / T12: процент на земеделската земя,</w:t>
            </w:r>
            <w:r>
              <w:rPr>
                <w:sz w:val="16"/>
              </w:rPr>
              <w:t xml:space="preserve"> обхваната от договори за управление с цел подобряване на управлението на почвите и/или предотвратяване на почвената 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горска земя, обхваната от договори за управление с цел подобряване на управлението на </w:t>
            </w:r>
            <w:r>
              <w:rPr>
                <w:sz w:val="16"/>
              </w:rPr>
              <w:t>почвите и/или предотвратяване на почвената ерозия 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R11 / T13: процент на горската земя, обхваната от договори за управление с цел подобряване на управлението на почвите и/или предотвратяване на почвената </w:t>
            </w:r>
            <w:r>
              <w:rPr>
                <w:sz w:val="16"/>
              </w:rPr>
              <w:t>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R12 / T14: процент на поливните площи, преминаващи към по-ефективни напоителни системи (област с поставен акцент 5А)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T15: общите инвестиции за енергийна ефективност (област с поставен акцент </w:t>
            </w:r>
            <w:r>
              <w:rPr>
                <w:sz w:val="16"/>
              </w:rPr>
              <w:t>5Б)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8 612 674,23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T16: общ размер на инвестициите в 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2 616 176,94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R16 / T17: процент на ЖЕ, засегнати от инвестиции в управление на добитък с оглед намаляване на </w:t>
            </w:r>
            <w:r>
              <w:rPr>
                <w:sz w:val="16"/>
              </w:rPr>
              <w:t>емисиите на парникови газове и/или на амоняк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за намаляване на емисиите на парникови газове и/или на амоняк (ha)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28 268,70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R17 / T18: процент на земеделската земя, обхваната от договори за управление за намаляване на емисиите на парникови газове и/или на амоняк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земеделска и горска земя под управление за насърчаване </w:t>
            </w:r>
            <w:r>
              <w:rPr>
                <w:sz w:val="16"/>
              </w:rPr>
              <w:t>поглъщането/съхраняването на въглерод (ha)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R20 / T19: процент от земеделските и горските земи, обхванати от договори за управление, допринасящи за улавяне и съхранение на въглерод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117,00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R22 / T21: процент от </w:t>
            </w:r>
            <w:r>
              <w:rPr>
                <w:sz w:val="16"/>
              </w:rPr>
              <w:t>населението в селските райони, обхванато от стратегии за местно развитие (област с 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16,42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R23 / T22: процент от населението в селските райони, което</w:t>
            </w:r>
            <w:r>
              <w:rPr>
                <w:sz w:val="16"/>
              </w:rPr>
              <w:t xml:space="preserve"> се възползва от подобрените услуги/инфраструктура (област с 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R24 / T23: работни места, разкрити в 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R24 / T23: работни места, разкрити в </w:t>
            </w:r>
            <w:r>
              <w:rPr>
                <w:sz w:val="16"/>
              </w:rPr>
              <w:t>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R25 / T24: процент от населението в селските райони, което се възползва от нови или подобрени </w:t>
            </w:r>
            <w:r>
              <w:rPr>
                <w:sz w:val="16"/>
              </w:rPr>
              <w:t>услуги/инфраструктура (ИКТ) (област с поставен акцент 6В)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pPr>
        <w:pStyle w:val="Heading2"/>
      </w:pPr>
      <w:r>
        <w:br w:type="page"/>
      </w:r>
      <w:bookmarkStart w:id="11" w:name="_Toc256000014"/>
      <w:bookmarkStart w:id="12" w:name="_Toc256000005"/>
      <w:r>
        <w:t>Таблица Д: Мониторинг на преходните мерки — ГОДИШНИ ДАННИ</w:t>
      </w:r>
      <w:bookmarkEnd w:id="11"/>
      <w:bookmarkEnd w:id="1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DE5B3A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5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left"/>
              <w:rPr>
                <w:sz w:val="16"/>
              </w:rPr>
            </w:pPr>
            <w:r>
              <w:rPr>
                <w:sz w:val="16"/>
              </w:rPr>
              <w:t>Мярка (код) съгласно Регламент (ЕО) № 1698/2005 (DM = преустановена мярка)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jc w:val="right"/>
            </w:pPr>
            <w:r>
              <w:rPr>
                <w:sz w:val="16"/>
              </w:rPr>
              <w:t>Общо публични разходи   (в евро)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331, 111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114, 115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132, 133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216, 121, 125, 123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112, 141, 311,312,313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22 985 073,39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321, 322, 323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221, 222, 223, 226, 227, 122, 123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480 590,63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142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62 204,85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26 308 341,91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4 894 521,08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213, 224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211, 212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411, 412, 413, 421, 431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113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131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DE5B3A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DE5B3A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341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DE5B3A" w:rsidRDefault="00997227">
      <w:pPr>
        <w:pStyle w:val="Heading2"/>
      </w:pPr>
      <w:r>
        <w:br w:type="page"/>
      </w:r>
      <w:bookmarkStart w:id="13" w:name="_Toc256000015"/>
      <w:bookmarkStart w:id="14" w:name="_Toc256000006"/>
      <w:r>
        <w:t>Таблица Е: Постигане на показателите от рамката на изпълнението</w:t>
      </w:r>
      <w:bookmarkEnd w:id="13"/>
      <w:bookmarkEnd w:id="14"/>
    </w:p>
    <w:p w:rsidR="00DE5B3A" w:rsidRDefault="00997227">
      <w:r>
        <w:t xml:space="preserve">Таблица Е1: </w:t>
      </w:r>
      <w:r>
        <w:t>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"/>
        <w:gridCol w:w="1047"/>
        <w:gridCol w:w="2644"/>
        <w:gridCol w:w="1470"/>
        <w:gridCol w:w="1308"/>
        <w:gridCol w:w="1004"/>
        <w:gridCol w:w="727"/>
        <w:gridCol w:w="1470"/>
      </w:tblGrid>
      <w:tr w:rsidR="00DE5B3A"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 от рамката на изпълнението (година {0})* (A)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Изчислен процент на постигане (ГОДИНА 2017)** (C)=(A-B)/E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Етап 2018  (от ПРСР)  Г) 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DE5B3A" w:rsidRDefault="00997227">
            <w:r>
              <w:rPr>
                <w:b/>
                <w:sz w:val="20"/>
              </w:rPr>
              <w:t>Цел 2023  (от ПРСР)  Д)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Общо публични разходи П2 (в евро)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120 293 746,54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32.34%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371 932 202,70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Брой на земеделски стопанства с подпомагане от ПРСР за инвестиции в преструктуриране и модернизация (област с </w:t>
            </w:r>
            <w:r>
              <w:t>поставен акцент 2А) + стопанства с бизнес план за развитие/инвестиция за млади земеделски стопани, подпомагани по линия на ПРСР (област с поставен акцент 2Б)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3 132,00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47.74%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6 560,00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Общо публични разходи П3 (в евро)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8 051 061,64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2.95%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272 904 037,20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Брой на земеделските стопанства, получаващи подпомагане по схеми за качество, за местни пазари/ къси вериги на доставки и групи на производителите (област с поставен акцент 3A) 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450,00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Брой на земеделските </w:t>
            </w:r>
            <w:r>
              <w:t>стопанства, които участват в схеми за управление на риска (област с поставен акцент 3Б)</w:t>
            </w:r>
          </w:p>
        </w:tc>
        <w:tc>
          <w:tcPr>
            <w:tcW w:w="750" w:type="pct"/>
          </w:tcPr>
          <w:p w:rsidR="00DE5B3A" w:rsidRDefault="00DE5B3A">
            <w:pPr>
              <w:jc w:val="left"/>
            </w:pPr>
          </w:p>
        </w:tc>
        <w:tc>
          <w:tcPr>
            <w:tcW w:w="750" w:type="pct"/>
          </w:tcPr>
          <w:p w:rsidR="00DE5B3A" w:rsidRDefault="00DE5B3A">
            <w:pPr>
              <w:jc w:val="left"/>
            </w:pPr>
          </w:p>
        </w:tc>
        <w:tc>
          <w:tcPr>
            <w:tcW w:w="750" w:type="pct"/>
          </w:tcPr>
          <w:p w:rsidR="00DE5B3A" w:rsidRDefault="00DE5B3A">
            <w:pPr>
              <w:jc w:val="lef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Общо публични разходи П4 (в евро)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244 974 851,23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24.92%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983 098 022,80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Земеделска земя, обхваната от договори за управление с цел </w:t>
            </w:r>
            <w:r>
              <w:t>подкрепа на биологичното разнообразие (ha) (област с поставен акцент 4А) + подобряване на управлението на водите (ha) (област с поставен акцент 4Б) + подобряване на управлението на почвите и/предотвратяването на почвената ерозия (ha) (област с поставен акц</w:t>
            </w:r>
            <w:r>
              <w:t>ент 4В)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736 989,82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122.02%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60%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604 000,00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Общо публични разходи П5 (в евро)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15 795 923,83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3.67%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430 648 778,00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Брой на инвестиционните операции в енергоспестяването и енергийната ефективност (област с поставен акцент 5Б) + в </w:t>
            </w:r>
            <w:r>
              <w:t>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30,00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4.05%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740,00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Земеделски и горски земи под управление за насърчаване на поглъщането/съхраняването на въглерод (ha) (област с поставен акцент 5Д) + земеделска </w:t>
            </w:r>
            <w:r>
              <w:t>земя, обхваната от договори за управление с цел намаляване на емисиите на парникови газове и/или на амоняк (ha) (област с поставен акцент 5Г) + поливни площи, преминаващи към по-ефективни напоителни системи (ha) (област с поставен акцент 5А)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28 268,73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52.</w:t>
            </w:r>
            <w:r>
              <w:t>3%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54 050,00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Брой операции, подпомогнати с цел подобряване на основни услуги и инфраструктура в селските райони (области с поставен акцент 6Б и 6В)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939,00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Общо публични разходи П6 (в евро)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3 105 031,40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0.38%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815 155 428,30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Население, обхванато от местни групи за действие (област с поставен акцент 6Б)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982 230,00</w:t>
            </w:r>
          </w:p>
        </w:tc>
        <w:tc>
          <w:tcPr>
            <w:tcW w:w="750" w:type="pct"/>
          </w:tcPr>
          <w:p w:rsidR="00DE5B3A" w:rsidRDefault="00DE5B3A">
            <w:pPr>
              <w:jc w:val="right"/>
            </w:pP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71.7%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100%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1 370 000,00</w:t>
            </w:r>
          </w:p>
        </w:tc>
      </w:tr>
    </w:tbl>
    <w:p w:rsidR="00DE5B3A" w:rsidRDefault="00997227">
      <w:pPr>
        <w:jc w:val="left"/>
      </w:pPr>
      <w:r>
        <w:br w:type="page"/>
        <w:t>Таблица Е2: Алтернативни 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1409"/>
        <w:gridCol w:w="1674"/>
        <w:gridCol w:w="1478"/>
        <w:gridCol w:w="1522"/>
        <w:gridCol w:w="1230"/>
        <w:gridCol w:w="878"/>
        <w:gridCol w:w="1056"/>
      </w:tblGrid>
      <w:tr w:rsidR="00DE5B3A"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</w:t>
            </w:r>
            <w:r>
              <w:rPr>
                <w:b/>
                <w:sz w:val="20"/>
              </w:rPr>
              <w:t xml:space="preserve"> от рамката на изпълнението (година {0})* (A)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Изчислен процент на постигане (ГОДИНА 2017)** (C)=(A-B)/E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Етап 2018  (от ПРСР)  Г) 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r>
              <w:rPr>
                <w:b/>
                <w:sz w:val="20"/>
              </w:rPr>
              <w:t>Цел 2023  (от ПРСР)  Д)</w:t>
            </w:r>
          </w:p>
        </w:tc>
      </w:tr>
      <w:tr w:rsidR="00DE5B3A">
        <w:tc>
          <w:tcPr>
            <w:tcW w:w="750" w:type="pct"/>
          </w:tcPr>
          <w:p w:rsidR="00DE5B3A" w:rsidRDefault="00997227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DE5B3A" w:rsidRDefault="00997227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Брой операции  подпомогнати по M4 "Инвестиции във физич</w:t>
            </w:r>
            <w:r>
              <w:t>ески активи" за преработка и маркетинг на змеделска продукция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32,00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2.06%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DE5B3A" w:rsidRDefault="00997227">
            <w:pPr>
              <w:jc w:val="right"/>
            </w:pPr>
            <w:r>
              <w:t>1 555,00</w:t>
            </w:r>
          </w:p>
        </w:tc>
      </w:tr>
    </w:tbl>
    <w:p w:rsidR="00DE5B3A" w:rsidRDefault="00997227">
      <w:pPr>
        <w:pStyle w:val="Heading2"/>
        <w:jc w:val="left"/>
      </w:pPr>
      <w:r>
        <w:br w:type="page"/>
      </w:r>
      <w:bookmarkStart w:id="15" w:name="_Toc256000016"/>
      <w:bookmarkStart w:id="16" w:name="_Toc256000007"/>
      <w:r>
        <w:t>Таблица Ж: Специфични за програмата показатели</w:t>
      </w:r>
      <w:bookmarkEnd w:id="15"/>
      <w:bookmarkEnd w:id="16"/>
    </w:p>
    <w:p w:rsidR="00DE5B3A" w:rsidRDefault="00997227">
      <w:r>
        <w:t>Таблица Ж1: Таблица за специфични цели</w:t>
      </w:r>
    </w:p>
    <w:p w:rsidR="00DE5B3A" w:rsidRDefault="00997227"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1"/>
        <w:gridCol w:w="1622"/>
        <w:gridCol w:w="1561"/>
        <w:gridCol w:w="1562"/>
        <w:gridCol w:w="1562"/>
        <w:gridCol w:w="1562"/>
        <w:gridCol w:w="1226"/>
      </w:tblGrid>
      <w:tr w:rsidR="00DE5B3A"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Наименование на целевия показател 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Целева стойност 2023 г.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Целева стойност  2017</w:t>
            </w:r>
          </w:p>
        </w:tc>
        <w:tc>
          <w:tcPr>
            <w:tcW w:w="750" w:type="pct"/>
            <w:shd w:val="clear" w:color="auto" w:fill="808080"/>
          </w:tcPr>
          <w:p w:rsidR="00DE5B3A" w:rsidRDefault="00997227">
            <w:r>
              <w:rPr>
                <w:b/>
                <w:sz w:val="20"/>
              </w:rPr>
              <w:t>Коментари</w:t>
            </w:r>
          </w:p>
        </w:tc>
      </w:tr>
      <w:tr w:rsidR="00DE5B3A">
        <w:tc>
          <w:tcPr>
            <w:tcW w:w="250" w:type="pct"/>
          </w:tcPr>
          <w:p w:rsidR="00DE5B3A" w:rsidRDefault="00DE5B3A">
            <w:pPr>
              <w:jc w:val="center"/>
            </w:pP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Фирми, получили подпомагане </w:t>
            </w:r>
          </w:p>
        </w:tc>
        <w:tc>
          <w:tcPr>
            <w:tcW w:w="250" w:type="pct"/>
          </w:tcPr>
          <w:p w:rsidR="00DE5B3A" w:rsidRDefault="00DE5B3A">
            <w:pPr>
              <w:jc w:val="left"/>
            </w:pPr>
          </w:p>
        </w:tc>
        <w:tc>
          <w:tcPr>
            <w:tcW w:w="250" w:type="pct"/>
          </w:tcPr>
          <w:p w:rsidR="00DE5B3A" w:rsidRDefault="00997227">
            <w:pPr>
              <w:jc w:val="left"/>
            </w:pPr>
            <w:r>
              <w:t>брой</w:t>
            </w:r>
          </w:p>
        </w:tc>
        <w:tc>
          <w:tcPr>
            <w:tcW w:w="500" w:type="pct"/>
          </w:tcPr>
          <w:p w:rsidR="00DE5B3A" w:rsidRDefault="00997227">
            <w:pPr>
              <w:jc w:val="right"/>
            </w:pPr>
            <w:r>
              <w:t>120,00</w:t>
            </w:r>
          </w:p>
        </w:tc>
        <w:tc>
          <w:tcPr>
            <w:tcW w:w="50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  <w:tc>
          <w:tcPr>
            <w:tcW w:w="2500" w:type="pct"/>
          </w:tcPr>
          <w:p w:rsidR="00DE5B3A" w:rsidRDefault="00DE5B3A">
            <w:pPr>
              <w:jc w:val="left"/>
            </w:pPr>
          </w:p>
        </w:tc>
      </w:tr>
      <w:tr w:rsidR="00DE5B3A">
        <w:tc>
          <w:tcPr>
            <w:tcW w:w="250" w:type="pct"/>
          </w:tcPr>
          <w:p w:rsidR="00DE5B3A" w:rsidRDefault="00997227">
            <w:pPr>
              <w:jc w:val="center"/>
            </w:pPr>
            <w:r>
              <w:t>Т7</w:t>
            </w: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>Брой на участниците в обучения по Мярка 1 "Трансфер на знания и действия за осведомяване "</w:t>
            </w:r>
          </w:p>
        </w:tc>
        <w:tc>
          <w:tcPr>
            <w:tcW w:w="250" w:type="pct"/>
          </w:tcPr>
          <w:p w:rsidR="00DE5B3A" w:rsidRDefault="00997227">
            <w:pPr>
              <w:jc w:val="left"/>
            </w:pPr>
            <w:r>
              <w:t>3B</w:t>
            </w:r>
          </w:p>
        </w:tc>
        <w:tc>
          <w:tcPr>
            <w:tcW w:w="250" w:type="pct"/>
          </w:tcPr>
          <w:p w:rsidR="00DE5B3A" w:rsidRDefault="00997227">
            <w:pPr>
              <w:jc w:val="left"/>
            </w:pPr>
            <w:r>
              <w:t>number</w:t>
            </w:r>
          </w:p>
        </w:tc>
        <w:tc>
          <w:tcPr>
            <w:tcW w:w="500" w:type="pct"/>
          </w:tcPr>
          <w:p w:rsidR="00DE5B3A" w:rsidRDefault="00997227">
            <w:pPr>
              <w:jc w:val="right"/>
            </w:pPr>
            <w:r>
              <w:t>200,00</w:t>
            </w:r>
          </w:p>
        </w:tc>
        <w:tc>
          <w:tcPr>
            <w:tcW w:w="500" w:type="pct"/>
          </w:tcPr>
          <w:p w:rsidR="00DE5B3A" w:rsidRDefault="00997227">
            <w:pPr>
              <w:jc w:val="right"/>
            </w:pPr>
            <w:r>
              <w:t>0,00</w:t>
            </w:r>
          </w:p>
        </w:tc>
        <w:tc>
          <w:tcPr>
            <w:tcW w:w="2500" w:type="pct"/>
          </w:tcPr>
          <w:p w:rsidR="00DE5B3A" w:rsidRDefault="00DE5B3A">
            <w:pPr>
              <w:jc w:val="left"/>
            </w:pPr>
          </w:p>
        </w:tc>
      </w:tr>
    </w:tbl>
    <w:p w:rsidR="00DE5B3A" w:rsidRDefault="00997227">
      <w:pPr>
        <w:jc w:val="left"/>
        <w:rPr>
          <w:b/>
        </w:rPr>
      </w:pPr>
      <w:r>
        <w:rPr>
          <w:b/>
        </w:rPr>
        <w:t>AIR</w:t>
      </w:r>
    </w:p>
    <w:p w:rsidR="00DE5B3A" w:rsidRDefault="00997227">
      <w:r>
        <w:t xml:space="preserve">Не са </w:t>
      </w:r>
      <w:r>
        <w:t>дефинирани специфични целеви показатели</w:t>
      </w:r>
    </w:p>
    <w:p w:rsidR="00DE5B3A" w:rsidRDefault="00997227">
      <w:r>
        <w:br w:type="page"/>
        <w:t>Таблица Ж2: Таблица за специфични резултати</w:t>
      </w:r>
    </w:p>
    <w:p w:rsidR="00DE5B3A" w:rsidRDefault="00997227"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"/>
        <w:gridCol w:w="1939"/>
        <w:gridCol w:w="840"/>
        <w:gridCol w:w="1031"/>
        <w:gridCol w:w="967"/>
        <w:gridCol w:w="1279"/>
        <w:gridCol w:w="1478"/>
        <w:gridCol w:w="2559"/>
      </w:tblGrid>
      <w:tr w:rsidR="00DE5B3A">
        <w:tc>
          <w:tcPr>
            <w:tcW w:w="2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100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на показателя за изпълнението</w:t>
            </w:r>
          </w:p>
        </w:tc>
        <w:tc>
          <w:tcPr>
            <w:tcW w:w="2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Мярка</w:t>
            </w:r>
          </w:p>
        </w:tc>
        <w:tc>
          <w:tcPr>
            <w:tcW w:w="2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2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25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Планирано изпълнение</w:t>
            </w:r>
          </w:p>
        </w:tc>
        <w:tc>
          <w:tcPr>
            <w:tcW w:w="500" w:type="pct"/>
            <w:shd w:val="clear" w:color="auto" w:fill="808080"/>
          </w:tcPr>
          <w:p w:rsidR="00DE5B3A" w:rsidRDefault="0099722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Стойност за изпълнението 2017 г.</w:t>
            </w:r>
          </w:p>
        </w:tc>
        <w:tc>
          <w:tcPr>
            <w:tcW w:w="2500" w:type="pct"/>
            <w:shd w:val="clear" w:color="auto" w:fill="808080"/>
          </w:tcPr>
          <w:p w:rsidR="00DE5B3A" w:rsidRDefault="00997227">
            <w:r>
              <w:rPr>
                <w:b/>
                <w:sz w:val="20"/>
              </w:rPr>
              <w:t>Коментари</w:t>
            </w:r>
          </w:p>
        </w:tc>
      </w:tr>
      <w:tr w:rsidR="00DE5B3A">
        <w:tc>
          <w:tcPr>
            <w:tcW w:w="250" w:type="pct"/>
          </w:tcPr>
          <w:p w:rsidR="00DE5B3A" w:rsidRDefault="00DE5B3A">
            <w:pPr>
              <w:jc w:val="center"/>
            </w:pPr>
          </w:p>
        </w:tc>
        <w:tc>
          <w:tcPr>
            <w:tcW w:w="750" w:type="pct"/>
          </w:tcPr>
          <w:p w:rsidR="00DE5B3A" w:rsidRDefault="00997227">
            <w:pPr>
              <w:jc w:val="left"/>
            </w:pPr>
            <w:r>
              <w:t xml:space="preserve">Брой </w:t>
            </w:r>
            <w:r>
              <w:t>операции, получаващи подкрепа за инвестиции (в земеделски стопанства, за преработка и търговия със селскостопански продукти) (4.2 )</w:t>
            </w:r>
          </w:p>
        </w:tc>
        <w:tc>
          <w:tcPr>
            <w:tcW w:w="250" w:type="pct"/>
          </w:tcPr>
          <w:p w:rsidR="00DE5B3A" w:rsidRDefault="00997227">
            <w:pPr>
              <w:jc w:val="left"/>
            </w:pPr>
            <w:r>
              <w:t>M04</w:t>
            </w:r>
          </w:p>
        </w:tc>
        <w:tc>
          <w:tcPr>
            <w:tcW w:w="500" w:type="pct"/>
          </w:tcPr>
          <w:p w:rsidR="00DE5B3A" w:rsidRDefault="00997227">
            <w:pPr>
              <w:jc w:val="left"/>
            </w:pPr>
            <w:r>
              <w:t>5B</w:t>
            </w:r>
          </w:p>
        </w:tc>
        <w:tc>
          <w:tcPr>
            <w:tcW w:w="250" w:type="pct"/>
          </w:tcPr>
          <w:p w:rsidR="00DE5B3A" w:rsidRDefault="00997227">
            <w:pPr>
              <w:jc w:val="left"/>
            </w:pPr>
            <w:r>
              <w:t>броя</w:t>
            </w:r>
          </w:p>
        </w:tc>
        <w:tc>
          <w:tcPr>
            <w:tcW w:w="500" w:type="pct"/>
          </w:tcPr>
          <w:p w:rsidR="00DE5B3A" w:rsidRDefault="00997227">
            <w:pPr>
              <w:jc w:val="right"/>
            </w:pPr>
            <w:r>
              <w:t>100,00</w:t>
            </w:r>
          </w:p>
        </w:tc>
        <w:tc>
          <w:tcPr>
            <w:tcW w:w="500" w:type="pct"/>
          </w:tcPr>
          <w:p w:rsidR="00DE5B3A" w:rsidRDefault="00DE5B3A">
            <w:pPr>
              <w:jc w:val="right"/>
            </w:pPr>
          </w:p>
        </w:tc>
        <w:tc>
          <w:tcPr>
            <w:tcW w:w="2000" w:type="pct"/>
          </w:tcPr>
          <w:p w:rsidR="00DE5B3A" w:rsidRDefault="00DE5B3A">
            <w:pPr>
              <w:jc w:val="left"/>
            </w:pPr>
          </w:p>
        </w:tc>
      </w:tr>
    </w:tbl>
    <w:p w:rsidR="00DE5B3A" w:rsidRDefault="00997227">
      <w:pPr>
        <w:jc w:val="left"/>
        <w:rPr>
          <w:b/>
        </w:rPr>
      </w:pPr>
      <w:r>
        <w:rPr>
          <w:b/>
        </w:rPr>
        <w:t>AIR</w:t>
      </w:r>
    </w:p>
    <w:p w:rsidR="00DE5B3A" w:rsidRDefault="00997227">
      <w:r>
        <w:t>Не са дефинирани специфични показатели за изпълнението</w:t>
      </w:r>
    </w:p>
    <w:p w:rsidR="00DE5B3A" w:rsidRDefault="00997227">
      <w:pPr>
        <w:sectPr w:rsidR="00DE5B3A">
          <w:pgSz w:w="12240" w:h="15840"/>
          <w:pgMar w:top="900" w:right="900" w:bottom="900" w:left="900" w:header="720" w:footer="720" w:gutter="0"/>
          <w:cols w:space="720"/>
        </w:sectPr>
      </w:pPr>
      <w:r>
        <w:br w:type="page"/>
      </w:r>
    </w:p>
    <w:p w:rsidR="00DE5B3A" w:rsidRDefault="00997227">
      <w:pPr>
        <w:pStyle w:val="Heading1"/>
        <w:rPr>
          <w:b w:val="0"/>
        </w:rPr>
      </w:pPr>
      <w:bookmarkStart w:id="17" w:name="_Toc256000017"/>
      <w:bookmarkStart w:id="18" w:name="_Toc256000008"/>
      <w:r>
        <w:rPr>
          <w:b w:val="0"/>
        </w:rPr>
        <w:t>Легенда</w:t>
      </w:r>
      <w:bookmarkEnd w:id="17"/>
      <w:bookmarkEnd w:id="18"/>
    </w:p>
    <w:p w:rsidR="00DE5B3A" w:rsidRDefault="00997227">
      <w:pPr>
        <w:rPr>
          <w:b/>
          <w:sz w:val="28"/>
        </w:rPr>
      </w:pPr>
      <w:r>
        <w:rPr>
          <w:b/>
          <w:sz w:val="28"/>
        </w:rPr>
        <w:t>Приоритет/Област с поста</w:t>
      </w:r>
      <w:r>
        <w:rPr>
          <w:b/>
          <w:sz w:val="28"/>
        </w:rPr>
        <w:t>вен акцент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1"/>
        <w:gridCol w:w="10123"/>
      </w:tblGrid>
      <w:tr w:rsidR="00DE5B3A">
        <w:tc>
          <w:tcPr>
            <w:tcW w:w="200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P1: Стимулиране на трансфера на знания и иновациите в областта на селското и горското стопанство и селските райони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1А) Стимулиране на иновациите, сътрудничеството и развитието на базата от знания в селските райони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1Б) Укрепване на връзките между селското стопанство, производството на храни, горското стопанство и научноизследователската дейност и иновациите, включително с цел подобряване на екологичното управление и екологичните показатели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1В) поощряване на </w:t>
            </w:r>
            <w:r>
              <w:rPr>
                <w:sz w:val="20"/>
              </w:rPr>
              <w:t>ученето през целия живот и професионалното обучение в секторите на селското и горското стопанство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P2: Подобряване на жизнеспособността на стопанствата и конкурентоспособността на всички видове земеделие във всички региони; насърчаване на новаторски селско</w:t>
            </w:r>
            <w:r>
              <w:rPr>
                <w:b/>
                <w:sz w:val="20"/>
              </w:rPr>
              <w:t>стопански технологии и устойчивото управление на горите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2А) Подобряване на икономическите резултати на всички земеделски стопанства и улесняване на преструктурирането и модернизирането на стопанствата, особено с оглед на увеличаването на пазарното участи</w:t>
            </w:r>
            <w:r>
              <w:rPr>
                <w:sz w:val="20"/>
              </w:rPr>
              <w:t>е и ориентация и на разнообразяването в селското стопанство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2Б) Улесняване на навлизането на земеделски стопани с подходяща квалификация в селскостопанския сектор, и по-специално приемствеността между поколенията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2C+) Подобряване на икономическите </w:t>
            </w:r>
            <w:r>
              <w:rPr>
                <w:sz w:val="20"/>
              </w:rPr>
              <w:t>резултати на фирмите в горското стопанство, дърводобива и първичната преработка на дървесина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P3: Насърчаване на добро организиране на хранителната верига, в т.ч. преработката и търговията със селскостопански продукти, хуманното отношение към животните и у</w:t>
            </w:r>
            <w:r>
              <w:rPr>
                <w:b/>
                <w:sz w:val="20"/>
              </w:rPr>
              <w:t>правлението на риска в селското стопанство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 3A) Подобряване на конкурентоспособността на първичните производители чрез по-доброто им интегриране в селскостопанската и хранителната верига посредством схеми за качество, които да добавят стойност към селскостопанските продукти, популяризиране на местн</w:t>
            </w:r>
            <w:r>
              <w:rPr>
                <w:sz w:val="20"/>
              </w:rPr>
              <w:t>ите пазари и къси вериги на доставки, групи на производителите и организации и междубраншови организации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3Б) Подпомагане на превенцията и управлението на риска на стопанствата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P4: Възстановяване, опазване и укрепване на екосистемите, свързани със </w:t>
            </w:r>
            <w:r>
              <w:rPr>
                <w:b/>
                <w:sz w:val="20"/>
              </w:rPr>
              <w:t>селското и горското стопанство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4А) Възстановяване, опазване и укрепване на биологичното разнообразие, включително в зони по „Натура 2000“ и в зони с природни или други специфични ограничения и земеделие с висока природна стойност, както и на състоянието </w:t>
            </w:r>
            <w:r>
              <w:rPr>
                <w:sz w:val="20"/>
              </w:rPr>
              <w:t>на европейските ландшафти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4Б) Подобряване управлението на водите, включително управлението на торовете и пестицидите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4В) Предотвратяване на ерозията на почвите и подобряване на управлението им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P5: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стопанство, сектора на храните и горското стопанство 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5А) Повишаване на ефективността при потреблението на вода в селското стопанство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5Б) Повишаване на ефективността при потреблението на енергия в селското стопанство и хранително-вкусовата промишленост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5В) Улесняване на доставките и използването на </w:t>
            </w:r>
            <w:r>
              <w:rPr>
                <w:sz w:val="20"/>
              </w:rPr>
              <w:t>възобновяеми източници на енергия, на странични продукти, отпадъци и остатъци, и други нехранителни суровини за целите на биоикономиката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5Г) Намаляване на емисиите на парникови газове и амоняк от селското стопанство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5Д) Стимулиране на съхраняването и п</w:t>
            </w:r>
            <w:r>
              <w:rPr>
                <w:sz w:val="20"/>
              </w:rPr>
              <w:t xml:space="preserve">оглъщането на въглерода в сектора на селското и горското стопанство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P6: Насърчаване на социалното приобщаване, намаляването на бедността и икономическото развитие в селските райони 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6А) Улесняване на разнообразяването, създаването и развитието на малки</w:t>
            </w:r>
            <w:r>
              <w:rPr>
                <w:sz w:val="20"/>
              </w:rPr>
              <w:t xml:space="preserve"> предприятия, както и разкриването на работни места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6Б) Стимулиране на местното развитие в селските райони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6В) Подобряване на достъпа до информационни и комуникационни технологии (ИКТ), използването и качеството им в селските райони</w:t>
            </w:r>
          </w:p>
        </w:tc>
      </w:tr>
    </w:tbl>
    <w:p w:rsidR="00DE5B3A" w:rsidRDefault="00997227">
      <w:pPr>
        <w:spacing w:before="60" w:after="60"/>
        <w:rPr>
          <w:b/>
          <w:sz w:val="28"/>
        </w:rPr>
      </w:pPr>
      <w:r>
        <w:rPr>
          <w:b/>
          <w:sz w:val="20"/>
        </w:rPr>
        <w:br w:type="page"/>
      </w:r>
      <w:r>
        <w:rPr>
          <w:b/>
          <w:sz w:val="28"/>
        </w:rPr>
        <w:t>Мярка/Подмярка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1"/>
        <w:gridCol w:w="10123"/>
      </w:tblGrid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М01 — Трансфер на знания и действия за осведомяване (член 14)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M1.1 — подкрепа за дейности за професионално обучение и придобиване на умения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M1.2 — подпомагане за демонстрационни дейности и действия за осведомяване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M1.3 — подкрепата може да обхваща и</w:t>
            </w:r>
            <w:r>
              <w:rPr>
                <w:sz w:val="20"/>
              </w:rPr>
              <w:t xml:space="preserve"> краткосрочен обмен на опит в управлението на земеделски и горски стопанства, както и посещения на земеделски и горски стопанства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М02 —  Консултантски услуги, услуги по управление на стопанство и услуги по заместване в стопанство (член 15)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M2.1 — </w:t>
            </w:r>
            <w:r>
              <w:rPr>
                <w:sz w:val="20"/>
              </w:rPr>
              <w:t>подкрепа, насочена към възможностите за ползване на консултантски услуги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M2.2 — подкрепа за въвеждането на услуги по управление на стопанства, услуги по заместване в стопанства и консултантски услуги в областта на селското стопанство, както и в областта </w:t>
            </w:r>
            <w:r>
              <w:rPr>
                <w:sz w:val="20"/>
              </w:rPr>
              <w:t>на горското стопанство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M2.3 — подкрепа за обучение на консултанти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M03 — Схеми за качеството за селскостопански продукти и храни (член 16)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M3.1 — подпомагане с цел първо присъединяване към схеми за качество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M3.2 — подкрепа, насочена към дейности за предоставяне на информация и популяризиране, осъществявани от групи производители на вътрешния пазар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M04 — Инвестиции в материални активи (член 17)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M4.1 — подкрепа за инвестиции в земеделски стопанства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M4.2 —</w:t>
            </w:r>
            <w:r>
              <w:rPr>
                <w:sz w:val="20"/>
              </w:rPr>
              <w:t xml:space="preserve"> подкрепа за инвестиции в преработката, предлагането на пазара и/или развитието на селскостопански продукти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M4.3 — подкрепа за инвестиции в инфраструктура, свързана с развитието, модернизирането или адаптирането на селското и горското стопанство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M4.4 —</w:t>
            </w:r>
            <w:r>
              <w:rPr>
                <w:sz w:val="20"/>
              </w:rPr>
              <w:t xml:space="preserve"> подкрепа за инвестиции в непроизводствени дейности, свързани с постигане на агроекологичните цели и целите в областта на климата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M05 Възстановяване на потенциала за селскостопанска продукция, претърпял щети в резултат на природни бедствия или катастрофични събития, и въвеждане на подходящи превантивни мерки (член 18) 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M5.1. - подкрепа за инвестиции в превантивни мерки, насочени къ</w:t>
            </w:r>
            <w:r>
              <w:rPr>
                <w:sz w:val="20"/>
              </w:rPr>
              <w:t>м ограничаване на последствията от вероятни природни бедствия, неблагоприятни климатични явления и катастрофични събития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M5.2 - инвестиции за възстановяване на потенциала на земеделските земи и на селскостопанския производствен потенциал, нарушени от </w:t>
            </w:r>
            <w:r>
              <w:rPr>
                <w:sz w:val="20"/>
              </w:rPr>
              <w:t>природни бедствия, неблагоприятни климатични явления и катастрофични събития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M06 — Развитие на стопанства и предприятия (член 19)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M6.1 — помощ при стартиране за млади земеделски стопани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M6.2 — помощ при стартиране за неселскостопански дейности в </w:t>
            </w:r>
            <w:r>
              <w:rPr>
                <w:sz w:val="20"/>
              </w:rPr>
              <w:t>селските райони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M6.3 — помощ при стартиране за развитието на малки стопанства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M6.4 — подкрепа за инвестиции в установяването и развитието на неселскостопански дейности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M6.5 — плащания на земеделски стопани, отговарящи на условията по схемата за </w:t>
            </w:r>
            <w:r>
              <w:rPr>
                <w:sz w:val="20"/>
              </w:rPr>
              <w:t>дребни земеделски стопани, които трайно прехвърлят стопанството си на друг земеделски стопанин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М07 — Основни услуги и обновяване на селата в селските райони (член 20)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M7.1 —  подкрепа за изготвяне и актуализиране на планове за развитие на общините и селата в селските райони и на техните основни услуги и на планове за защита и управление, отнасящи се до обекти по „Натура 2000“ и други райони с висока природна стойност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M7.2 — подкрепа за инвестиции в създаването, подобряването или разширяването на всички видове малка по мащаби инфраструктура, включително инвестиции в енергия от възобновяеми източници и спестяване на енергия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M7.3 — подкрепа за широколентова инфраструкт</w:t>
            </w:r>
            <w:r>
              <w:rPr>
                <w:sz w:val="20"/>
              </w:rPr>
              <w:t xml:space="preserve">ура, включително нейното създаване, подобрение и разширяване, пасивна широколентова инфраструктура и мерки за достъп до решения чрез широколентова инфраструктура и електронно правителство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M7.4 — подкрепа за инвестиции в създаването, подобряването или </w:t>
            </w:r>
            <w:r>
              <w:rPr>
                <w:sz w:val="20"/>
              </w:rPr>
              <w:t>разширяването на основни услуги на местно равнище за населението в селските райони, включително за отдих и културни дейности, както и на съответната инфраструктура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M7.5 — подкрепа за публично ползване в инфраструктура за отдих, туристическа информация и </w:t>
            </w:r>
            <w:r>
              <w:rPr>
                <w:sz w:val="20"/>
              </w:rPr>
              <w:t>малка по мащаб туристическа инфраструктура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M7.6 - подпомагане за проучвания и инвестиции, свързани с поддържане, възстановяване и подобряване на културното и природното наследство на села, ландшафта в селски райони и обекти с висока природна стойност, вк</w:t>
            </w:r>
            <w:r>
              <w:rPr>
                <w:sz w:val="20"/>
              </w:rPr>
              <w:t>лючително съответните социално-икономически аспекти, както и действия за повишаване на информираността по екологични въпроси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M7.7 — подкрепа за инвестиции, чиято цел е преместването на дейности и преустройството на сгради или други съоръжения, разположен</w:t>
            </w:r>
            <w:r>
              <w:rPr>
                <w:sz w:val="20"/>
              </w:rPr>
              <w:t>и във или в близост до населени места от селски тип, с оглед подобряване на качеството на живот или повишаване на екологичната ефективност на населеното място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M7.8 — други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М08 — Инвестиции в развитие на горските райони и подобряване на жизнеспособността</w:t>
            </w:r>
            <w:r>
              <w:rPr>
                <w:b/>
                <w:sz w:val="20"/>
              </w:rPr>
              <w:t xml:space="preserve"> на горите (членове 21 — 26)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M8.1 - подпомагане за залесяване и създаване на горски масиви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M8.2 — подпомагане за създаване на агролесовъдни системи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M8.3 — подпомагане за предотвратяване на щети по горите от горски пожари, природни бедствия и </w:t>
            </w:r>
            <w:r>
              <w:rPr>
                <w:sz w:val="20"/>
              </w:rPr>
              <w:t>катастрофични събития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M8.4 — подпомагане за възстановяване на щети по горите от горски пожари, природни бедствия и катастрофични събития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M8.5 — подпомагане за инвестиции за подобряване на устойчивостта и екологичната стойност на горските екосистеми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</w:t>
            </w:r>
            <w:r>
              <w:rPr>
                <w:sz w:val="20"/>
              </w:rPr>
              <w:t>8.6 — подпомагане за инвестиции в технологии за лесовъдство и в преработката, мобилизирането и търговията на горски продукти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M09 — Създаване на групи и организации на производителите (член 27)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M9.1 — учредяване на групи и организации на производителите </w:t>
            </w:r>
            <w:r>
              <w:rPr>
                <w:sz w:val="20"/>
              </w:rPr>
              <w:t>в секторите на селското и горското стопанство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M10 — Агроекология и климат (член 28)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M10.1 — плащания за ангажименти за агроекология и климат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M10.2 — подкрепа за опазване и устойчиво използване и развитие на генетичните ресурси в земеделието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М11 — </w:t>
            </w:r>
            <w:r>
              <w:rPr>
                <w:b/>
                <w:sz w:val="20"/>
              </w:rPr>
              <w:t>Биологично земеделие (член 29)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M11.1 — плащания за преминаване към практики и методи за биологично земеделие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M11.2 — плащания за поддържане на практики и методи за биологично земеделие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M12 — Плащания по „Натура 2000“ и Рамковата директива за водите </w:t>
            </w:r>
            <w:r>
              <w:rPr>
                <w:b/>
                <w:sz w:val="20"/>
              </w:rPr>
              <w:t>(член 30)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M12.1 — компенсационни плащания по „Натура 2000“ за земеделски площи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M12.2 — компенсационни плащания по „Натура 2000“ за горски райони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M12.3 — компенсационни плащания за селскостопански райони, включени в плановете за управление на речните басейни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М13 — Плащания за райони, изправени пред природни или други специфични ограничения (член 31)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M13.1 — компенсационни плащания за земеделски </w:t>
            </w:r>
            <w:r>
              <w:rPr>
                <w:sz w:val="20"/>
              </w:rPr>
              <w:t>стопани в планински райони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M13.2 — компенсационни плащания за други райони, засегнати от значителни природни ограничения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M13.3 — компенсационни плащания за други райони, засегнати от специфични ограничения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M14 — Хуманно отношение към животните </w:t>
            </w:r>
            <w:r>
              <w:rPr>
                <w:b/>
                <w:sz w:val="20"/>
              </w:rPr>
              <w:t>(член 33)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M14.1 — плащания за хуманно отношение към животните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М15 — Екологични услуги и услуги във връзка с климата в горското стопанство и опазване на горите (член 34)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M15.1 - плащания за ангажименти по опазване на околната среда в горите и </w:t>
            </w:r>
            <w:r>
              <w:rPr>
                <w:sz w:val="20"/>
              </w:rPr>
              <w:t>ангажименти в областта на климата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M15.2 — подпомагане за опазването и укрепването на генетичните ресурси в горските стопанства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M16 — Сътрудничество (член 35)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M16.0 — други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M16.1 — подкрепа за сформиране и функциониране на оперативни групи в рамките на ЕПИ за селскостопанска производителност и устойчивост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M16.2 — подпомагане за пилотни проекти и за разработване на нови продукти, практики, процеси и технологии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M16.3 — (др</w:t>
            </w:r>
            <w:r>
              <w:rPr>
                <w:sz w:val="20"/>
              </w:rPr>
              <w:t>уг вид) сътрудничество между малки икономически оператори за организиране на съвместни работни процеси и за споделяне на оборудване и ресурси, и за разработване и пазарна реализация на туристически услуги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M16.4 — подпомагане за хоризонтално и вертикално </w:t>
            </w:r>
            <w:r>
              <w:rPr>
                <w:sz w:val="20"/>
              </w:rPr>
              <w:t>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популяризиране, свързани с развитието на късите вериги на доставки и местните пазари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M16.5 — подпомагане за предприемане на съвместни действия с оглед смекчаване или адаптиране към последиците от изменението на климата и за съвместни подходи към екологични проекти и съществуващи екологични практики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M16.6 — подкрепа за сътрудничество межд</w:t>
            </w:r>
            <w:r>
              <w:rPr>
                <w:sz w:val="20"/>
              </w:rPr>
              <w:t xml:space="preserve">у участниците във веригата на доставки за устойчиво доставяне на биомаса за приложение в производството на храни и енергия и в промишлени процеси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M16.7 — подкрепа за стратегии за местно развитие, различни от воденото от общностите местно развитие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</w:t>
            </w:r>
            <w:r>
              <w:rPr>
                <w:sz w:val="20"/>
              </w:rPr>
              <w:t>8 — подкрепа за изготвяне на планове за управление на горите или еквивалентни инструменти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M16.9 — подкрепа за разнообразяване на селскостопанските дейности към дейности, свързани със здравеопазване, социална интеграция, поддържана от общността селскостоп</w:t>
            </w:r>
            <w:r>
              <w:rPr>
                <w:sz w:val="20"/>
              </w:rPr>
              <w:t>анска дейност и образователна дейност за околната среда и храните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М17 — Управление на риска (член 36)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M17.1 — премии за застраховка на реколтата, животните и растенията 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M17.2 —  взаимоспомагателни фондове в случай на неблагоприятни климатични </w:t>
            </w:r>
            <w:r>
              <w:rPr>
                <w:sz w:val="20"/>
              </w:rPr>
              <w:t>явления, поява на болест по животните или по растенията, нашествие на вредители или екологични инциденти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M17.3 — инструмент за стабилизиране на доходите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М18 — Финансиране на допълнителни национални директни плащания за Хърватия (член 40)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M18 — Финансиране на допълнителни национални директни плащания за Хърватия 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M19 — Подкрепа за местно развитие по LEADER (ВОМР — водено от общностите местно развитие) (член 35 от Регламент (ЕС) № 1303/2013)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M19.1 — подготвително подпомагане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M19.2 — под</w:t>
            </w:r>
            <w:r>
              <w:rPr>
                <w:sz w:val="20"/>
              </w:rPr>
              <w:t>помагане за операции в рамките на стратегията за водено от общностите местно развитие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M19.3 — подготовка и изпълнение на дейности за сътрудничество на местните групи за действие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M19.4 — подпомагане за текущи разходи и разходи за съживяване на района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М20 — Техническа помощ държави членки (членове 51 — 54)</w:t>
            </w:r>
          </w:p>
        </w:tc>
      </w:tr>
      <w:tr w:rsidR="00DE5B3A">
        <w:tc>
          <w:tcPr>
            <w:tcW w:w="250" w:type="pct"/>
            <w:gridSpan w:val="2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M20.1 - подпомагане за техническа помощ (различна от НМСР)</w:t>
            </w:r>
          </w:p>
        </w:tc>
      </w:tr>
      <w:tr w:rsidR="00DE5B3A">
        <w:tc>
          <w:tcPr>
            <w:tcW w:w="250" w:type="pct"/>
            <w:tcBorders>
              <w:right w:val="nil"/>
            </w:tcBorders>
          </w:tcPr>
          <w:p w:rsidR="00DE5B3A" w:rsidRDefault="00DE5B3A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M20.2 — подпомагане за създаването и привеждането в действие на НМСР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М113 — Ранно пенсиониране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М131 — Спазване на стандартите, основани</w:t>
            </w:r>
            <w:r>
              <w:rPr>
                <w:b/>
                <w:sz w:val="20"/>
              </w:rPr>
              <w:t xml:space="preserve"> на законодателството на Общността</w:t>
            </w:r>
          </w:p>
        </w:tc>
      </w:tr>
      <w:tr w:rsidR="00DE5B3A">
        <w:tc>
          <w:tcPr>
            <w:tcW w:w="4750" w:type="pct"/>
            <w:gridSpan w:val="3"/>
          </w:tcPr>
          <w:p w:rsidR="00DE5B3A" w:rsidRDefault="00997227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М341 — Придобиване на умения, стимулиране на интерес и изпълнение</w:t>
            </w:r>
          </w:p>
        </w:tc>
      </w:tr>
    </w:tbl>
    <w:p w:rsidR="00DE5B3A" w:rsidRDefault="00DE5B3A">
      <w:pPr>
        <w:spacing w:before="60" w:after="60"/>
        <w:rPr>
          <w:b/>
          <w:sz w:val="20"/>
        </w:rPr>
      </w:pPr>
    </w:p>
    <w:sectPr w:rsidR="00DE5B3A">
      <w:pgSz w:w="12240" w:h="15840"/>
      <w:pgMar w:top="900" w:right="900" w:bottom="900" w:left="9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7227" w:rsidRDefault="00997227">
      <w:pPr>
        <w:spacing w:before="0" w:after="0"/>
      </w:pPr>
      <w:r>
        <w:separator/>
      </w:r>
    </w:p>
  </w:endnote>
  <w:endnote w:type="continuationSeparator" w:id="0">
    <w:p w:rsidR="00997227" w:rsidRDefault="0099722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FB3F124-0A40-4782-8070-BB659A6DE4C5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2" w:fontKey="{2E196299-7A56-406A-B69C-2D3471DB865A}"/>
    <w:embedBold r:id="rId3" w:fontKey="{B01B9E40-DF16-4CE9-9441-8FE328E764A5}"/>
    <w:embedItalic r:id="rId4" w:fontKey="{B56600F5-690E-44E9-9EC9-72D8F93D5FAC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5" w:fontKey="{3FCF256A-CF73-40D9-8213-A2742BED04A4}"/>
    <w:embedBold r:id="rId6" w:fontKey="{9A2808D4-7207-4ADE-97BF-FA2D302B830F}"/>
    <w:embedItalic r:id="rId7" w:fontKey="{B3EF7F45-B379-4712-9A60-72B4FD5B9292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8" w:fontKey="{39EED956-A62E-4FD2-9893-39D16F4DB9A3}"/>
    <w:embedBold r:id="rId9" w:fontKey="{D4B72E47-9E67-4F50-BE3E-064371663F79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25C4F7CC-27BB-40F7-ACDB-B12B3E27808F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11" w:fontKey="{4C0D1D4E-873C-49B1-B477-2B6C3CAA30CA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2" w:fontKey="{2A1DE34C-9E01-42FD-A2B1-5DE200A7A71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997227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36676D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997227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D13A4">
      <w:rPr>
        <w:noProof/>
      </w:rPr>
      <w:t>1</w:t>
    </w:r>
    <w:r>
      <w:rPr>
        <w:noProof/>
      </w:rPr>
      <w:fldChar w:fldCharType="end"/>
    </w:r>
  </w:p>
  <w:p w:rsidR="00B21E0A" w:rsidRDefault="00B21E0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7227" w:rsidRDefault="00997227">
      <w:pPr>
        <w:spacing w:before="0" w:after="0"/>
      </w:pPr>
      <w:r>
        <w:separator/>
      </w:r>
    </w:p>
  </w:footnote>
  <w:footnote w:type="continuationSeparator" w:id="0">
    <w:p w:rsidR="00997227" w:rsidRDefault="0099722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Pr="004551CD" w:rsidRDefault="00B21E0A">
    <w:pPr>
      <w:pStyle w:val="Header"/>
      <w:spacing w:after="0"/>
      <w:rPr>
        <w:lang w:val="fr-B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EA58E78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80"/>
    <w:multiLevelType w:val="singleLevel"/>
    <w:tmpl w:val="E7A64A6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1B1530A4"/>
    <w:multiLevelType w:val="multilevel"/>
    <w:tmpl w:val="8CE23BCC"/>
    <w:lvl w:ilvl="0">
      <w:start w:val="1"/>
      <w:numFmt w:val="decimal"/>
      <w:pStyle w:val="ListNumber2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2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2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2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1C7B624F"/>
    <w:multiLevelType w:val="singleLevel"/>
    <w:tmpl w:val="55144760"/>
    <w:name w:val="List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4">
    <w:nsid w:val="22DD3599"/>
    <w:multiLevelType w:val="multilevel"/>
    <w:tmpl w:val="4EAA5BA6"/>
    <w:lvl w:ilvl="0">
      <w:start w:val="1"/>
      <w:numFmt w:val="decimal"/>
      <w:pStyle w:val="ListNumber"/>
      <w:lvlText w:val="(%1)"/>
      <w:lvlJc w:val="left"/>
      <w:pPr>
        <w:tabs>
          <w:tab w:val="num" w:pos="709"/>
        </w:tabs>
        <w:ind w:left="709" w:hanging="709"/>
      </w:pPr>
    </w:lvl>
    <w:lvl w:ilvl="1">
      <w:start w:val="1"/>
      <w:numFmt w:val="lowerLetter"/>
      <w:pStyle w:val="ListNumberLevel2"/>
      <w:lvlText w:val="(%2)"/>
      <w:lvlJc w:val="left"/>
      <w:pPr>
        <w:tabs>
          <w:tab w:val="num" w:pos="1417"/>
        </w:tabs>
        <w:ind w:left="1417" w:hanging="708"/>
      </w:pPr>
    </w:lvl>
    <w:lvl w:ilvl="2">
      <w:start w:val="1"/>
      <w:numFmt w:val="bullet"/>
      <w:pStyle w:val="ListNumberLevel3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/>
      </w:rPr>
    </w:lvl>
    <w:lvl w:ilvl="3">
      <w:start w:val="1"/>
      <w:numFmt w:val="bullet"/>
      <w:pStyle w:val="ListNumberLevel4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2B75631B"/>
    <w:multiLevelType w:val="singleLevel"/>
    <w:tmpl w:val="A4DC141A"/>
    <w:lvl w:ilvl="0">
      <w:start w:val="1"/>
      <w:numFmt w:val="bullet"/>
      <w:pStyle w:val="List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6">
    <w:nsid w:val="2CAB4527"/>
    <w:multiLevelType w:val="multilevel"/>
    <w:tmpl w:val="26C24C12"/>
    <w:lvl w:ilvl="0">
      <w:start w:val="1"/>
      <w:numFmt w:val="decimal"/>
      <w:pStyle w:val="ListNumber3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3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3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3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>
    <w:nsid w:val="34293F3F"/>
    <w:multiLevelType w:val="singleLevel"/>
    <w:tmpl w:val="B074E4EC"/>
    <w:lvl w:ilvl="0">
      <w:start w:val="1"/>
      <w:numFmt w:val="bullet"/>
      <w:pStyle w:val="ListDash"/>
      <w:lvlText w:val="–"/>
      <w:lvlJc w:val="left"/>
      <w:pPr>
        <w:tabs>
          <w:tab w:val="num" w:pos="283"/>
        </w:tabs>
        <w:ind w:left="283" w:hanging="283"/>
      </w:pPr>
      <w:rPr>
        <w:rFonts w:ascii="Times New Roman" w:hAnsi="Times New Roman"/>
      </w:rPr>
    </w:lvl>
  </w:abstractNum>
  <w:abstractNum w:abstractNumId="8">
    <w:nsid w:val="358B6119"/>
    <w:multiLevelType w:val="multilevel"/>
    <w:tmpl w:val="A8BA546C"/>
    <w:lvl w:ilvl="0">
      <w:start w:val="1"/>
      <w:numFmt w:val="decimal"/>
      <w:pStyle w:val="ListNumber1"/>
      <w:lvlText w:val="(%1)"/>
      <w:lvlJc w:val="left"/>
      <w:pPr>
        <w:tabs>
          <w:tab w:val="num" w:pos="1191"/>
        </w:tabs>
        <w:ind w:left="1191" w:hanging="709"/>
      </w:pPr>
    </w:lvl>
    <w:lvl w:ilvl="1">
      <w:start w:val="1"/>
      <w:numFmt w:val="lowerLetter"/>
      <w:pStyle w:val="ListNumber1Level2"/>
      <w:lvlText w:val="(%2)"/>
      <w:lvlJc w:val="left"/>
      <w:pPr>
        <w:tabs>
          <w:tab w:val="num" w:pos="1899"/>
        </w:tabs>
        <w:ind w:left="1899" w:hanging="708"/>
      </w:pPr>
    </w:lvl>
    <w:lvl w:ilvl="2">
      <w:start w:val="1"/>
      <w:numFmt w:val="bullet"/>
      <w:pStyle w:val="ListNumber1Level3"/>
      <w:lvlText w:val="–"/>
      <w:lvlJc w:val="left"/>
      <w:pPr>
        <w:tabs>
          <w:tab w:val="num" w:pos="2608"/>
        </w:tabs>
        <w:ind w:left="2608" w:hanging="709"/>
      </w:pPr>
      <w:rPr>
        <w:rFonts w:ascii="Times New Roman" w:hAnsi="Times New Roman"/>
      </w:rPr>
    </w:lvl>
    <w:lvl w:ilvl="3">
      <w:start w:val="1"/>
      <w:numFmt w:val="bullet"/>
      <w:pStyle w:val="ListNumber1Level4"/>
      <w:lvlText w:val=""/>
      <w:lvlJc w:val="left"/>
      <w:pPr>
        <w:tabs>
          <w:tab w:val="num" w:pos="3317"/>
        </w:tabs>
        <w:ind w:left="331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36324F1E"/>
    <w:multiLevelType w:val="singleLevel"/>
    <w:tmpl w:val="E7764108"/>
    <w:name w:val="List 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0">
    <w:nsid w:val="37CB1E1C"/>
    <w:multiLevelType w:val="singleLevel"/>
    <w:tmpl w:val="628C12D0"/>
    <w:name w:val="List Dash 1223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1">
    <w:nsid w:val="3AFB6DC8"/>
    <w:multiLevelType w:val="singleLevel"/>
    <w:tmpl w:val="D97CFDF8"/>
    <w:lvl w:ilvl="0">
      <w:start w:val="1"/>
      <w:numFmt w:val="bullet"/>
      <w:pStyle w:val="ListBullet2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12">
    <w:nsid w:val="3CF00E18"/>
    <w:multiLevelType w:val="singleLevel"/>
    <w:tmpl w:val="4E1A982C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</w:abstractNum>
  <w:abstractNum w:abstractNumId="13">
    <w:nsid w:val="46113D4F"/>
    <w:multiLevelType w:val="singleLevel"/>
    <w:tmpl w:val="A3323CB8"/>
    <w:lvl w:ilvl="0">
      <w:start w:val="1"/>
      <w:numFmt w:val="bullet"/>
      <w:pStyle w:val="ListDash3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4">
    <w:nsid w:val="52264ABD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53436603"/>
    <w:multiLevelType w:val="multilevel"/>
    <w:tmpl w:val="C23052C8"/>
    <w:lvl w:ilvl="0">
      <w:start w:val="1"/>
      <w:numFmt w:val="decimal"/>
      <w:pStyle w:val="Heading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Heading2"/>
      <w:suff w:val="space"/>
      <w:lvlText w:val="%1.%2)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pStyle w:val="Heading3"/>
      <w:suff w:val="space"/>
      <w:lvlText w:val="%1.%2%3)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lowerLetter"/>
      <w:pStyle w:val="Heading4"/>
      <w:suff w:val="space"/>
      <w:lvlText w:val="%1.%2%3.%4)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Heading5"/>
      <w:suff w:val="space"/>
      <w:lvlText w:val="%1.%2%3.%4%5)"/>
      <w:lvlJc w:val="left"/>
      <w:pPr>
        <w:ind w:left="0" w:firstLine="0"/>
      </w:pPr>
      <w:rPr>
        <w:rFonts w:hint="default"/>
      </w:rPr>
    </w:lvl>
    <w:lvl w:ilvl="5">
      <w:start w:val="1"/>
      <w:numFmt w:val="lowerLetter"/>
      <w:pStyle w:val="Heading6"/>
      <w:suff w:val="space"/>
      <w:lvlText w:val="%1.%2%3.%4%5.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Heading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pStyle w:val="Heading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eading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6">
    <w:nsid w:val="54D10AB0"/>
    <w:multiLevelType w:val="singleLevel"/>
    <w:tmpl w:val="5B50620E"/>
    <w:lvl w:ilvl="0">
      <w:start w:val="1"/>
      <w:numFmt w:val="bullet"/>
      <w:pStyle w:val="ListDash4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7">
    <w:nsid w:val="57594894"/>
    <w:multiLevelType w:val="multilevel"/>
    <w:tmpl w:val="A09AD310"/>
    <w:styleLink w:val="Headings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8">
    <w:nsid w:val="5B8B1E96"/>
    <w:multiLevelType w:val="multilevel"/>
    <w:tmpl w:val="C3AAD27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5C405D49"/>
    <w:multiLevelType w:val="multilevel"/>
    <w:tmpl w:val="A09AD310"/>
    <w:numStyleLink w:val="Headings"/>
  </w:abstractNum>
  <w:abstractNum w:abstractNumId="20">
    <w:nsid w:val="5E0D6286"/>
    <w:multiLevelType w:val="singleLevel"/>
    <w:tmpl w:val="B0567122"/>
    <w:lvl w:ilvl="0">
      <w:start w:val="1"/>
      <w:numFmt w:val="bullet"/>
      <w:pStyle w:val="ListDash2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21">
    <w:nsid w:val="6057433F"/>
    <w:multiLevelType w:val="singleLevel"/>
    <w:tmpl w:val="3D5ECD48"/>
    <w:lvl w:ilvl="0">
      <w:start w:val="1"/>
      <w:numFmt w:val="bullet"/>
      <w:pStyle w:val="ListDash1"/>
      <w:lvlText w:val="–"/>
      <w:lvlJc w:val="left"/>
      <w:pPr>
        <w:tabs>
          <w:tab w:val="num" w:pos="765"/>
        </w:tabs>
        <w:ind w:left="765" w:hanging="283"/>
      </w:pPr>
      <w:rPr>
        <w:rFonts w:ascii="Times New Roman" w:hAnsi="Times New Roman"/>
      </w:rPr>
    </w:lvl>
  </w:abstractNum>
  <w:abstractNum w:abstractNumId="22">
    <w:nsid w:val="620F2440"/>
    <w:multiLevelType w:val="singleLevel"/>
    <w:tmpl w:val="6860A420"/>
    <w:lvl w:ilvl="0">
      <w:start w:val="1"/>
      <w:numFmt w:val="bullet"/>
      <w:pStyle w:val="ListBullet3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3">
    <w:nsid w:val="6DF118C0"/>
    <w:multiLevelType w:val="singleLevel"/>
    <w:tmpl w:val="B90C8B88"/>
    <w:lvl w:ilvl="0">
      <w:start w:val="1"/>
      <w:numFmt w:val="bullet"/>
      <w:pStyle w:val="ListBullet4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4">
    <w:nsid w:val="6E190441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722304D7"/>
    <w:multiLevelType w:val="multilevel"/>
    <w:tmpl w:val="9DE2758E"/>
    <w:lvl w:ilvl="0">
      <w:start w:val="1"/>
      <w:numFmt w:val="decimal"/>
      <w:pStyle w:val="ListNumber4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4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4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4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5"/>
  </w:num>
  <w:num w:numId="5">
    <w:abstractNumId w:val="11"/>
  </w:num>
  <w:num w:numId="6">
    <w:abstractNumId w:val="22"/>
  </w:num>
  <w:num w:numId="7">
    <w:abstractNumId w:val="23"/>
  </w:num>
  <w:num w:numId="8">
    <w:abstractNumId w:val="7"/>
  </w:num>
  <w:num w:numId="9">
    <w:abstractNumId w:val="21"/>
  </w:num>
  <w:num w:numId="10">
    <w:abstractNumId w:val="20"/>
  </w:num>
  <w:num w:numId="11">
    <w:abstractNumId w:val="13"/>
  </w:num>
  <w:num w:numId="12">
    <w:abstractNumId w:val="16"/>
  </w:num>
  <w:num w:numId="13">
    <w:abstractNumId w:val="4"/>
  </w:num>
  <w:num w:numId="14">
    <w:abstractNumId w:val="8"/>
  </w:num>
  <w:num w:numId="15">
    <w:abstractNumId w:val="2"/>
  </w:num>
  <w:num w:numId="16">
    <w:abstractNumId w:val="6"/>
  </w:num>
  <w:num w:numId="17">
    <w:abstractNumId w:val="25"/>
  </w:num>
  <w:num w:numId="18">
    <w:abstractNumId w:val="17"/>
  </w:num>
  <w:num w:numId="19">
    <w:abstractNumId w:val="19"/>
  </w:num>
  <w:num w:numId="20">
    <w:abstractNumId w:val="15"/>
  </w:num>
  <w:num w:numId="21">
    <w:abstractNumId w:val="18"/>
  </w:num>
  <w:num w:numId="22">
    <w:abstractNumId w:val="14"/>
  </w:num>
  <w:num w:numId="2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LW_DocType" w:val="REP"/>
  </w:docVars>
  <w:rsids>
    <w:rsidRoot w:val="00B538D8"/>
    <w:rsid w:val="00001E6E"/>
    <w:rsid w:val="000025C7"/>
    <w:rsid w:val="00002B97"/>
    <w:rsid w:val="00011C15"/>
    <w:rsid w:val="00013F30"/>
    <w:rsid w:val="000161D2"/>
    <w:rsid w:val="00027B3A"/>
    <w:rsid w:val="000465D1"/>
    <w:rsid w:val="000509CF"/>
    <w:rsid w:val="00052488"/>
    <w:rsid w:val="0005270A"/>
    <w:rsid w:val="000567D8"/>
    <w:rsid w:val="000610F9"/>
    <w:rsid w:val="000619C8"/>
    <w:rsid w:val="00062C4F"/>
    <w:rsid w:val="00063729"/>
    <w:rsid w:val="0006666A"/>
    <w:rsid w:val="00066936"/>
    <w:rsid w:val="000700A3"/>
    <w:rsid w:val="00070BF2"/>
    <w:rsid w:val="00073100"/>
    <w:rsid w:val="00077D84"/>
    <w:rsid w:val="00084750"/>
    <w:rsid w:val="00094BC2"/>
    <w:rsid w:val="00097749"/>
    <w:rsid w:val="00097AD4"/>
    <w:rsid w:val="000A1ABB"/>
    <w:rsid w:val="000A2719"/>
    <w:rsid w:val="000A3480"/>
    <w:rsid w:val="000A3CD6"/>
    <w:rsid w:val="000A612B"/>
    <w:rsid w:val="000B40D7"/>
    <w:rsid w:val="000B66B5"/>
    <w:rsid w:val="000B76DA"/>
    <w:rsid w:val="000C1FE8"/>
    <w:rsid w:val="000C269C"/>
    <w:rsid w:val="000C2E95"/>
    <w:rsid w:val="000C3217"/>
    <w:rsid w:val="000C494F"/>
    <w:rsid w:val="000C570C"/>
    <w:rsid w:val="000C778E"/>
    <w:rsid w:val="000D1F6A"/>
    <w:rsid w:val="000D49BF"/>
    <w:rsid w:val="000D6FA3"/>
    <w:rsid w:val="000E0B8E"/>
    <w:rsid w:val="000E0F54"/>
    <w:rsid w:val="000E1B5D"/>
    <w:rsid w:val="000E23C9"/>
    <w:rsid w:val="000E4C90"/>
    <w:rsid w:val="000F088C"/>
    <w:rsid w:val="000F1FF8"/>
    <w:rsid w:val="000F288D"/>
    <w:rsid w:val="000F2B29"/>
    <w:rsid w:val="000F4D07"/>
    <w:rsid w:val="000F77B2"/>
    <w:rsid w:val="00102D6F"/>
    <w:rsid w:val="00103CEE"/>
    <w:rsid w:val="00115C88"/>
    <w:rsid w:val="00116DD6"/>
    <w:rsid w:val="00117C66"/>
    <w:rsid w:val="00120799"/>
    <w:rsid w:val="001225A7"/>
    <w:rsid w:val="001233A5"/>
    <w:rsid w:val="00123B0C"/>
    <w:rsid w:val="00124612"/>
    <w:rsid w:val="00126C6E"/>
    <w:rsid w:val="00127FED"/>
    <w:rsid w:val="0013208A"/>
    <w:rsid w:val="00132A62"/>
    <w:rsid w:val="00135D7E"/>
    <w:rsid w:val="00136257"/>
    <w:rsid w:val="001404DA"/>
    <w:rsid w:val="001430E4"/>
    <w:rsid w:val="00147229"/>
    <w:rsid w:val="00153C72"/>
    <w:rsid w:val="00157E5A"/>
    <w:rsid w:val="00162E7B"/>
    <w:rsid w:val="00164810"/>
    <w:rsid w:val="00164D2A"/>
    <w:rsid w:val="001659FC"/>
    <w:rsid w:val="001677EA"/>
    <w:rsid w:val="00167F92"/>
    <w:rsid w:val="00170CD8"/>
    <w:rsid w:val="00171825"/>
    <w:rsid w:val="00171EBD"/>
    <w:rsid w:val="001755F5"/>
    <w:rsid w:val="00180BE9"/>
    <w:rsid w:val="001810DA"/>
    <w:rsid w:val="00192821"/>
    <w:rsid w:val="001934ED"/>
    <w:rsid w:val="00196DE7"/>
    <w:rsid w:val="001A0B3E"/>
    <w:rsid w:val="001A0F53"/>
    <w:rsid w:val="001A115C"/>
    <w:rsid w:val="001A6E77"/>
    <w:rsid w:val="001B284B"/>
    <w:rsid w:val="001B3243"/>
    <w:rsid w:val="001B4816"/>
    <w:rsid w:val="001B6D5B"/>
    <w:rsid w:val="001C0105"/>
    <w:rsid w:val="001C2C04"/>
    <w:rsid w:val="001C727B"/>
    <w:rsid w:val="001D0303"/>
    <w:rsid w:val="001D094F"/>
    <w:rsid w:val="001D32CC"/>
    <w:rsid w:val="001D35C9"/>
    <w:rsid w:val="001D534D"/>
    <w:rsid w:val="001D7835"/>
    <w:rsid w:val="001E1B85"/>
    <w:rsid w:val="001E1D5A"/>
    <w:rsid w:val="001F10DC"/>
    <w:rsid w:val="001F159E"/>
    <w:rsid w:val="001F4D52"/>
    <w:rsid w:val="001F7091"/>
    <w:rsid w:val="002031B8"/>
    <w:rsid w:val="00211D52"/>
    <w:rsid w:val="00213D61"/>
    <w:rsid w:val="00213F7E"/>
    <w:rsid w:val="00214CBA"/>
    <w:rsid w:val="0022049F"/>
    <w:rsid w:val="002217EF"/>
    <w:rsid w:val="002249E9"/>
    <w:rsid w:val="00230797"/>
    <w:rsid w:val="002318C0"/>
    <w:rsid w:val="00231B5F"/>
    <w:rsid w:val="002349C3"/>
    <w:rsid w:val="00236422"/>
    <w:rsid w:val="00252B51"/>
    <w:rsid w:val="0025435C"/>
    <w:rsid w:val="002559D7"/>
    <w:rsid w:val="00256893"/>
    <w:rsid w:val="0025740D"/>
    <w:rsid w:val="002643D8"/>
    <w:rsid w:val="002652D4"/>
    <w:rsid w:val="00270E99"/>
    <w:rsid w:val="0027265C"/>
    <w:rsid w:val="00273AB1"/>
    <w:rsid w:val="00275463"/>
    <w:rsid w:val="0027612B"/>
    <w:rsid w:val="00276253"/>
    <w:rsid w:val="00280E12"/>
    <w:rsid w:val="0029100A"/>
    <w:rsid w:val="00292B54"/>
    <w:rsid w:val="00296983"/>
    <w:rsid w:val="002A764E"/>
    <w:rsid w:val="002B150D"/>
    <w:rsid w:val="002B334D"/>
    <w:rsid w:val="002B57B0"/>
    <w:rsid w:val="002D1F0B"/>
    <w:rsid w:val="002E2EA7"/>
    <w:rsid w:val="002E2F12"/>
    <w:rsid w:val="002E457C"/>
    <w:rsid w:val="002F1A1E"/>
    <w:rsid w:val="002F21D8"/>
    <w:rsid w:val="002F399F"/>
    <w:rsid w:val="003000A8"/>
    <w:rsid w:val="00300F23"/>
    <w:rsid w:val="003039ED"/>
    <w:rsid w:val="00305BA4"/>
    <w:rsid w:val="00310935"/>
    <w:rsid w:val="0031284E"/>
    <w:rsid w:val="00313DB4"/>
    <w:rsid w:val="00314BC7"/>
    <w:rsid w:val="00317EAC"/>
    <w:rsid w:val="00320947"/>
    <w:rsid w:val="003269DC"/>
    <w:rsid w:val="003315A0"/>
    <w:rsid w:val="00335A6C"/>
    <w:rsid w:val="00341479"/>
    <w:rsid w:val="00346BC2"/>
    <w:rsid w:val="00350D1F"/>
    <w:rsid w:val="003528C3"/>
    <w:rsid w:val="0035305C"/>
    <w:rsid w:val="003600B2"/>
    <w:rsid w:val="003616F6"/>
    <w:rsid w:val="0036424C"/>
    <w:rsid w:val="0036676D"/>
    <w:rsid w:val="003677C2"/>
    <w:rsid w:val="00370BD4"/>
    <w:rsid w:val="003734F9"/>
    <w:rsid w:val="00373D3F"/>
    <w:rsid w:val="00373FCE"/>
    <w:rsid w:val="003800EA"/>
    <w:rsid w:val="003835F2"/>
    <w:rsid w:val="00387F2E"/>
    <w:rsid w:val="00390980"/>
    <w:rsid w:val="003930B0"/>
    <w:rsid w:val="0039384A"/>
    <w:rsid w:val="00395EBD"/>
    <w:rsid w:val="003A1DB6"/>
    <w:rsid w:val="003A4EA8"/>
    <w:rsid w:val="003B05E1"/>
    <w:rsid w:val="003B1046"/>
    <w:rsid w:val="003B4025"/>
    <w:rsid w:val="003B4FD5"/>
    <w:rsid w:val="003B5A4C"/>
    <w:rsid w:val="003B6D4A"/>
    <w:rsid w:val="003C5EE6"/>
    <w:rsid w:val="003C6C81"/>
    <w:rsid w:val="003C6E91"/>
    <w:rsid w:val="003D0D1A"/>
    <w:rsid w:val="003D2871"/>
    <w:rsid w:val="003D54AB"/>
    <w:rsid w:val="003D6038"/>
    <w:rsid w:val="003D6B97"/>
    <w:rsid w:val="003D7415"/>
    <w:rsid w:val="003E20E8"/>
    <w:rsid w:val="003F26A0"/>
    <w:rsid w:val="003F6BAD"/>
    <w:rsid w:val="00402C44"/>
    <w:rsid w:val="00403AEE"/>
    <w:rsid w:val="0041191E"/>
    <w:rsid w:val="0042065A"/>
    <w:rsid w:val="004247C1"/>
    <w:rsid w:val="004256BD"/>
    <w:rsid w:val="00426DE9"/>
    <w:rsid w:val="004333F7"/>
    <w:rsid w:val="00435642"/>
    <w:rsid w:val="00436740"/>
    <w:rsid w:val="00440C49"/>
    <w:rsid w:val="004410C4"/>
    <w:rsid w:val="004415DD"/>
    <w:rsid w:val="0044304C"/>
    <w:rsid w:val="00446CDB"/>
    <w:rsid w:val="0045367A"/>
    <w:rsid w:val="0045450B"/>
    <w:rsid w:val="004551CD"/>
    <w:rsid w:val="0045561B"/>
    <w:rsid w:val="0046183D"/>
    <w:rsid w:val="00463BDE"/>
    <w:rsid w:val="004653AB"/>
    <w:rsid w:val="004675DD"/>
    <w:rsid w:val="00471404"/>
    <w:rsid w:val="00472B70"/>
    <w:rsid w:val="00473930"/>
    <w:rsid w:val="00480D7E"/>
    <w:rsid w:val="00481510"/>
    <w:rsid w:val="004820D8"/>
    <w:rsid w:val="004837C9"/>
    <w:rsid w:val="00483C37"/>
    <w:rsid w:val="00487D45"/>
    <w:rsid w:val="00492969"/>
    <w:rsid w:val="00492BAA"/>
    <w:rsid w:val="004936B2"/>
    <w:rsid w:val="00493CD1"/>
    <w:rsid w:val="00495491"/>
    <w:rsid w:val="004A1010"/>
    <w:rsid w:val="004A30DD"/>
    <w:rsid w:val="004A339B"/>
    <w:rsid w:val="004A33F6"/>
    <w:rsid w:val="004A6135"/>
    <w:rsid w:val="004B6788"/>
    <w:rsid w:val="004D111A"/>
    <w:rsid w:val="004D174D"/>
    <w:rsid w:val="004D4465"/>
    <w:rsid w:val="004E0320"/>
    <w:rsid w:val="004E1EFA"/>
    <w:rsid w:val="004E4892"/>
    <w:rsid w:val="004E4F78"/>
    <w:rsid w:val="004F1344"/>
    <w:rsid w:val="004F3466"/>
    <w:rsid w:val="004F4163"/>
    <w:rsid w:val="004F5302"/>
    <w:rsid w:val="004F7AEA"/>
    <w:rsid w:val="004F7FCB"/>
    <w:rsid w:val="00500B0F"/>
    <w:rsid w:val="00500F47"/>
    <w:rsid w:val="0050247A"/>
    <w:rsid w:val="005031FD"/>
    <w:rsid w:val="00503BD6"/>
    <w:rsid w:val="005103F1"/>
    <w:rsid w:val="00513D98"/>
    <w:rsid w:val="00513DDF"/>
    <w:rsid w:val="0051429C"/>
    <w:rsid w:val="0051495D"/>
    <w:rsid w:val="00520A73"/>
    <w:rsid w:val="00522CDD"/>
    <w:rsid w:val="00523057"/>
    <w:rsid w:val="00533CE2"/>
    <w:rsid w:val="00533D94"/>
    <w:rsid w:val="005347FE"/>
    <w:rsid w:val="005351C4"/>
    <w:rsid w:val="00540728"/>
    <w:rsid w:val="0054420F"/>
    <w:rsid w:val="005507F0"/>
    <w:rsid w:val="0055080F"/>
    <w:rsid w:val="005526A1"/>
    <w:rsid w:val="00554619"/>
    <w:rsid w:val="0056286B"/>
    <w:rsid w:val="0056464E"/>
    <w:rsid w:val="0056504B"/>
    <w:rsid w:val="005708CD"/>
    <w:rsid w:val="005762A6"/>
    <w:rsid w:val="00577C7C"/>
    <w:rsid w:val="00581D46"/>
    <w:rsid w:val="00582465"/>
    <w:rsid w:val="005835DB"/>
    <w:rsid w:val="0058522A"/>
    <w:rsid w:val="00586587"/>
    <w:rsid w:val="00591357"/>
    <w:rsid w:val="005929CE"/>
    <w:rsid w:val="00592E64"/>
    <w:rsid w:val="005956D6"/>
    <w:rsid w:val="00596225"/>
    <w:rsid w:val="005A3E85"/>
    <w:rsid w:val="005A4E6C"/>
    <w:rsid w:val="005A7E2E"/>
    <w:rsid w:val="005B02DF"/>
    <w:rsid w:val="005B246C"/>
    <w:rsid w:val="005B64EE"/>
    <w:rsid w:val="005B6CAE"/>
    <w:rsid w:val="005B78CA"/>
    <w:rsid w:val="005C4370"/>
    <w:rsid w:val="005C5A7B"/>
    <w:rsid w:val="005C738E"/>
    <w:rsid w:val="005D2051"/>
    <w:rsid w:val="005D7F00"/>
    <w:rsid w:val="005E13F3"/>
    <w:rsid w:val="005E2F69"/>
    <w:rsid w:val="005E3AE2"/>
    <w:rsid w:val="005E62F8"/>
    <w:rsid w:val="005E7742"/>
    <w:rsid w:val="005F4C83"/>
    <w:rsid w:val="0060035A"/>
    <w:rsid w:val="00601990"/>
    <w:rsid w:val="00601CBC"/>
    <w:rsid w:val="006057F9"/>
    <w:rsid w:val="0060603B"/>
    <w:rsid w:val="00606455"/>
    <w:rsid w:val="006116E6"/>
    <w:rsid w:val="006124CE"/>
    <w:rsid w:val="00613117"/>
    <w:rsid w:val="00613798"/>
    <w:rsid w:val="006151DE"/>
    <w:rsid w:val="006157B8"/>
    <w:rsid w:val="006160A3"/>
    <w:rsid w:val="006166B9"/>
    <w:rsid w:val="006208A1"/>
    <w:rsid w:val="00622438"/>
    <w:rsid w:val="00623950"/>
    <w:rsid w:val="006241B1"/>
    <w:rsid w:val="006260BC"/>
    <w:rsid w:val="006351D9"/>
    <w:rsid w:val="0063550E"/>
    <w:rsid w:val="0064258E"/>
    <w:rsid w:val="006430A2"/>
    <w:rsid w:val="00645E72"/>
    <w:rsid w:val="00645FC2"/>
    <w:rsid w:val="00647B27"/>
    <w:rsid w:val="00652AB7"/>
    <w:rsid w:val="00653F17"/>
    <w:rsid w:val="00655A9D"/>
    <w:rsid w:val="00662B1F"/>
    <w:rsid w:val="00664580"/>
    <w:rsid w:val="00665CB5"/>
    <w:rsid w:val="0067352E"/>
    <w:rsid w:val="006752F0"/>
    <w:rsid w:val="006761F1"/>
    <w:rsid w:val="0067763F"/>
    <w:rsid w:val="00677D23"/>
    <w:rsid w:val="00681D22"/>
    <w:rsid w:val="006823E0"/>
    <w:rsid w:val="00682E0A"/>
    <w:rsid w:val="00684864"/>
    <w:rsid w:val="0068582F"/>
    <w:rsid w:val="00687A5D"/>
    <w:rsid w:val="0069064B"/>
    <w:rsid w:val="00697AF8"/>
    <w:rsid w:val="00697B88"/>
    <w:rsid w:val="006A1E7E"/>
    <w:rsid w:val="006A642E"/>
    <w:rsid w:val="006A6603"/>
    <w:rsid w:val="006A6ADF"/>
    <w:rsid w:val="006A79C6"/>
    <w:rsid w:val="006A7B34"/>
    <w:rsid w:val="006B2045"/>
    <w:rsid w:val="006B3D4E"/>
    <w:rsid w:val="006B5E16"/>
    <w:rsid w:val="006C2059"/>
    <w:rsid w:val="006C3E71"/>
    <w:rsid w:val="006C4BB2"/>
    <w:rsid w:val="006C66F2"/>
    <w:rsid w:val="006D1B2F"/>
    <w:rsid w:val="006D4255"/>
    <w:rsid w:val="006D51D2"/>
    <w:rsid w:val="006D7733"/>
    <w:rsid w:val="006E141E"/>
    <w:rsid w:val="006E38BC"/>
    <w:rsid w:val="006F043F"/>
    <w:rsid w:val="006F2890"/>
    <w:rsid w:val="006F3C3C"/>
    <w:rsid w:val="006F40C8"/>
    <w:rsid w:val="007008B0"/>
    <w:rsid w:val="00701CDF"/>
    <w:rsid w:val="00702D11"/>
    <w:rsid w:val="007114E3"/>
    <w:rsid w:val="00712477"/>
    <w:rsid w:val="00716B84"/>
    <w:rsid w:val="0071733B"/>
    <w:rsid w:val="00722F31"/>
    <w:rsid w:val="00730878"/>
    <w:rsid w:val="0073128E"/>
    <w:rsid w:val="0073361C"/>
    <w:rsid w:val="00733ECB"/>
    <w:rsid w:val="00735504"/>
    <w:rsid w:val="007400B0"/>
    <w:rsid w:val="00745828"/>
    <w:rsid w:val="00745E3B"/>
    <w:rsid w:val="007522B8"/>
    <w:rsid w:val="00753BD9"/>
    <w:rsid w:val="00754A4E"/>
    <w:rsid w:val="00762B8C"/>
    <w:rsid w:val="0076455A"/>
    <w:rsid w:val="007656FD"/>
    <w:rsid w:val="007660E6"/>
    <w:rsid w:val="007668A0"/>
    <w:rsid w:val="00767DB2"/>
    <w:rsid w:val="00770266"/>
    <w:rsid w:val="00774D6C"/>
    <w:rsid w:val="0078153C"/>
    <w:rsid w:val="007826C1"/>
    <w:rsid w:val="0078362A"/>
    <w:rsid w:val="007855B4"/>
    <w:rsid w:val="00792538"/>
    <w:rsid w:val="00796234"/>
    <w:rsid w:val="007A1805"/>
    <w:rsid w:val="007A3328"/>
    <w:rsid w:val="007A635F"/>
    <w:rsid w:val="007B1B62"/>
    <w:rsid w:val="007B1E8F"/>
    <w:rsid w:val="007B1FC4"/>
    <w:rsid w:val="007B576B"/>
    <w:rsid w:val="007B61BD"/>
    <w:rsid w:val="007C5188"/>
    <w:rsid w:val="007D587A"/>
    <w:rsid w:val="007D5D56"/>
    <w:rsid w:val="007D6D19"/>
    <w:rsid w:val="007D6E83"/>
    <w:rsid w:val="007E02B0"/>
    <w:rsid w:val="007E2E52"/>
    <w:rsid w:val="007E5AA1"/>
    <w:rsid w:val="007F4D3A"/>
    <w:rsid w:val="007F5425"/>
    <w:rsid w:val="007F550F"/>
    <w:rsid w:val="00804844"/>
    <w:rsid w:val="00806281"/>
    <w:rsid w:val="0080631C"/>
    <w:rsid w:val="00822331"/>
    <w:rsid w:val="00823970"/>
    <w:rsid w:val="00824932"/>
    <w:rsid w:val="00831875"/>
    <w:rsid w:val="00833149"/>
    <w:rsid w:val="0083323C"/>
    <w:rsid w:val="00835A48"/>
    <w:rsid w:val="008361C0"/>
    <w:rsid w:val="008377CE"/>
    <w:rsid w:val="00841108"/>
    <w:rsid w:val="00844188"/>
    <w:rsid w:val="008460C0"/>
    <w:rsid w:val="00852277"/>
    <w:rsid w:val="0085264B"/>
    <w:rsid w:val="00862C72"/>
    <w:rsid w:val="00865F4C"/>
    <w:rsid w:val="008675BB"/>
    <w:rsid w:val="0086766F"/>
    <w:rsid w:val="00872453"/>
    <w:rsid w:val="00877A08"/>
    <w:rsid w:val="00881CAB"/>
    <w:rsid w:val="00885932"/>
    <w:rsid w:val="00890D8C"/>
    <w:rsid w:val="008949E7"/>
    <w:rsid w:val="00896B8B"/>
    <w:rsid w:val="008A3813"/>
    <w:rsid w:val="008B0569"/>
    <w:rsid w:val="008B3D56"/>
    <w:rsid w:val="008B6933"/>
    <w:rsid w:val="008B7655"/>
    <w:rsid w:val="008C265C"/>
    <w:rsid w:val="008C5263"/>
    <w:rsid w:val="008C69A8"/>
    <w:rsid w:val="008D1DF1"/>
    <w:rsid w:val="008D20B7"/>
    <w:rsid w:val="008D22EB"/>
    <w:rsid w:val="008F6004"/>
    <w:rsid w:val="008F6F4D"/>
    <w:rsid w:val="009023C1"/>
    <w:rsid w:val="00904F66"/>
    <w:rsid w:val="00906244"/>
    <w:rsid w:val="0091298E"/>
    <w:rsid w:val="00917C39"/>
    <w:rsid w:val="00922575"/>
    <w:rsid w:val="009250B5"/>
    <w:rsid w:val="0093008E"/>
    <w:rsid w:val="00932D2B"/>
    <w:rsid w:val="00933977"/>
    <w:rsid w:val="00933AB3"/>
    <w:rsid w:val="0093544E"/>
    <w:rsid w:val="0093591A"/>
    <w:rsid w:val="00935975"/>
    <w:rsid w:val="00941838"/>
    <w:rsid w:val="009440D0"/>
    <w:rsid w:val="009479DA"/>
    <w:rsid w:val="00950DA3"/>
    <w:rsid w:val="00955CDC"/>
    <w:rsid w:val="00955D0B"/>
    <w:rsid w:val="00956014"/>
    <w:rsid w:val="009564CC"/>
    <w:rsid w:val="009567F1"/>
    <w:rsid w:val="0096173E"/>
    <w:rsid w:val="00961E83"/>
    <w:rsid w:val="0096308C"/>
    <w:rsid w:val="00963927"/>
    <w:rsid w:val="009649FC"/>
    <w:rsid w:val="00965273"/>
    <w:rsid w:val="009678C3"/>
    <w:rsid w:val="00967E22"/>
    <w:rsid w:val="0097024E"/>
    <w:rsid w:val="009719F1"/>
    <w:rsid w:val="00973C9F"/>
    <w:rsid w:val="009742F3"/>
    <w:rsid w:val="009757E4"/>
    <w:rsid w:val="0097740C"/>
    <w:rsid w:val="00981D73"/>
    <w:rsid w:val="00985132"/>
    <w:rsid w:val="00985272"/>
    <w:rsid w:val="00990D9F"/>
    <w:rsid w:val="00991CD2"/>
    <w:rsid w:val="00991EDD"/>
    <w:rsid w:val="00997227"/>
    <w:rsid w:val="00997D6B"/>
    <w:rsid w:val="009A45B6"/>
    <w:rsid w:val="009B31D3"/>
    <w:rsid w:val="009B3977"/>
    <w:rsid w:val="009C0DDE"/>
    <w:rsid w:val="009C1E4E"/>
    <w:rsid w:val="009C66D9"/>
    <w:rsid w:val="009C7B69"/>
    <w:rsid w:val="009D5849"/>
    <w:rsid w:val="009D6F5E"/>
    <w:rsid w:val="009E3C76"/>
    <w:rsid w:val="009E5C79"/>
    <w:rsid w:val="009E7D93"/>
    <w:rsid w:val="009F40F0"/>
    <w:rsid w:val="009F584F"/>
    <w:rsid w:val="009F60DB"/>
    <w:rsid w:val="009F7173"/>
    <w:rsid w:val="00A010F9"/>
    <w:rsid w:val="00A01402"/>
    <w:rsid w:val="00A03817"/>
    <w:rsid w:val="00A05415"/>
    <w:rsid w:val="00A056FC"/>
    <w:rsid w:val="00A07CBE"/>
    <w:rsid w:val="00A112AE"/>
    <w:rsid w:val="00A11929"/>
    <w:rsid w:val="00A1370F"/>
    <w:rsid w:val="00A20E9A"/>
    <w:rsid w:val="00A22775"/>
    <w:rsid w:val="00A24F4C"/>
    <w:rsid w:val="00A25A3B"/>
    <w:rsid w:val="00A32868"/>
    <w:rsid w:val="00A333C2"/>
    <w:rsid w:val="00A34070"/>
    <w:rsid w:val="00A35763"/>
    <w:rsid w:val="00A373F9"/>
    <w:rsid w:val="00A40DBE"/>
    <w:rsid w:val="00A41BAE"/>
    <w:rsid w:val="00A50A65"/>
    <w:rsid w:val="00A52742"/>
    <w:rsid w:val="00A60C30"/>
    <w:rsid w:val="00A65079"/>
    <w:rsid w:val="00A73622"/>
    <w:rsid w:val="00A7548C"/>
    <w:rsid w:val="00A80F3C"/>
    <w:rsid w:val="00A81C7B"/>
    <w:rsid w:val="00A845EB"/>
    <w:rsid w:val="00A85DE5"/>
    <w:rsid w:val="00A91087"/>
    <w:rsid w:val="00A930A3"/>
    <w:rsid w:val="00A9326B"/>
    <w:rsid w:val="00A94034"/>
    <w:rsid w:val="00AA05A9"/>
    <w:rsid w:val="00AA188B"/>
    <w:rsid w:val="00AA2E49"/>
    <w:rsid w:val="00AB0744"/>
    <w:rsid w:val="00AB0AF3"/>
    <w:rsid w:val="00AB36D7"/>
    <w:rsid w:val="00AC12E9"/>
    <w:rsid w:val="00AC73F5"/>
    <w:rsid w:val="00AD3BB9"/>
    <w:rsid w:val="00AD6E66"/>
    <w:rsid w:val="00AD7793"/>
    <w:rsid w:val="00AE0E87"/>
    <w:rsid w:val="00AE257B"/>
    <w:rsid w:val="00AE600B"/>
    <w:rsid w:val="00AE6F88"/>
    <w:rsid w:val="00AE709B"/>
    <w:rsid w:val="00AF0575"/>
    <w:rsid w:val="00AF1974"/>
    <w:rsid w:val="00AF2DC6"/>
    <w:rsid w:val="00AF341F"/>
    <w:rsid w:val="00AF41AE"/>
    <w:rsid w:val="00B00661"/>
    <w:rsid w:val="00B03C51"/>
    <w:rsid w:val="00B20D1D"/>
    <w:rsid w:val="00B21222"/>
    <w:rsid w:val="00B21E0A"/>
    <w:rsid w:val="00B2659E"/>
    <w:rsid w:val="00B27306"/>
    <w:rsid w:val="00B30A29"/>
    <w:rsid w:val="00B318F2"/>
    <w:rsid w:val="00B31D32"/>
    <w:rsid w:val="00B3222D"/>
    <w:rsid w:val="00B40BFF"/>
    <w:rsid w:val="00B443AB"/>
    <w:rsid w:val="00B45822"/>
    <w:rsid w:val="00B460D4"/>
    <w:rsid w:val="00B46162"/>
    <w:rsid w:val="00B476FF"/>
    <w:rsid w:val="00B538D8"/>
    <w:rsid w:val="00B55624"/>
    <w:rsid w:val="00B617BF"/>
    <w:rsid w:val="00B62C7C"/>
    <w:rsid w:val="00B634CE"/>
    <w:rsid w:val="00B6369C"/>
    <w:rsid w:val="00B715D7"/>
    <w:rsid w:val="00B72E62"/>
    <w:rsid w:val="00B73220"/>
    <w:rsid w:val="00B767CE"/>
    <w:rsid w:val="00B7764A"/>
    <w:rsid w:val="00B8133E"/>
    <w:rsid w:val="00B8350C"/>
    <w:rsid w:val="00B84E2F"/>
    <w:rsid w:val="00B85A61"/>
    <w:rsid w:val="00B86465"/>
    <w:rsid w:val="00B8703B"/>
    <w:rsid w:val="00B9026D"/>
    <w:rsid w:val="00B90745"/>
    <w:rsid w:val="00B92511"/>
    <w:rsid w:val="00B93020"/>
    <w:rsid w:val="00B93EA9"/>
    <w:rsid w:val="00B94542"/>
    <w:rsid w:val="00BA0280"/>
    <w:rsid w:val="00BA5FE9"/>
    <w:rsid w:val="00BB04AF"/>
    <w:rsid w:val="00BB0FFD"/>
    <w:rsid w:val="00BB2B5D"/>
    <w:rsid w:val="00BB66ED"/>
    <w:rsid w:val="00BB7D5C"/>
    <w:rsid w:val="00BC1F05"/>
    <w:rsid w:val="00BC3CD5"/>
    <w:rsid w:val="00BD1873"/>
    <w:rsid w:val="00BD365B"/>
    <w:rsid w:val="00BD37DC"/>
    <w:rsid w:val="00BD6214"/>
    <w:rsid w:val="00BD6D7E"/>
    <w:rsid w:val="00BE42BC"/>
    <w:rsid w:val="00BE7EFD"/>
    <w:rsid w:val="00BF23A6"/>
    <w:rsid w:val="00BF3502"/>
    <w:rsid w:val="00BF61CA"/>
    <w:rsid w:val="00BF6851"/>
    <w:rsid w:val="00BF70E8"/>
    <w:rsid w:val="00C02FD6"/>
    <w:rsid w:val="00C065A3"/>
    <w:rsid w:val="00C06E87"/>
    <w:rsid w:val="00C07A9C"/>
    <w:rsid w:val="00C11B5B"/>
    <w:rsid w:val="00C11BE8"/>
    <w:rsid w:val="00C239FD"/>
    <w:rsid w:val="00C24504"/>
    <w:rsid w:val="00C267DB"/>
    <w:rsid w:val="00C30808"/>
    <w:rsid w:val="00C31C13"/>
    <w:rsid w:val="00C32EA9"/>
    <w:rsid w:val="00C37449"/>
    <w:rsid w:val="00C4065C"/>
    <w:rsid w:val="00C431C7"/>
    <w:rsid w:val="00C44D42"/>
    <w:rsid w:val="00C513D9"/>
    <w:rsid w:val="00C51B09"/>
    <w:rsid w:val="00C53BBA"/>
    <w:rsid w:val="00C66855"/>
    <w:rsid w:val="00C679F5"/>
    <w:rsid w:val="00C7396B"/>
    <w:rsid w:val="00C77483"/>
    <w:rsid w:val="00C80F15"/>
    <w:rsid w:val="00C81F1C"/>
    <w:rsid w:val="00C839F9"/>
    <w:rsid w:val="00C8410C"/>
    <w:rsid w:val="00C850EC"/>
    <w:rsid w:val="00C93C45"/>
    <w:rsid w:val="00C94214"/>
    <w:rsid w:val="00C97CD8"/>
    <w:rsid w:val="00C97FEA"/>
    <w:rsid w:val="00CA254E"/>
    <w:rsid w:val="00CA3805"/>
    <w:rsid w:val="00CB4E82"/>
    <w:rsid w:val="00CB70B2"/>
    <w:rsid w:val="00CC4CA1"/>
    <w:rsid w:val="00CD41E8"/>
    <w:rsid w:val="00CE1876"/>
    <w:rsid w:val="00CE1AA3"/>
    <w:rsid w:val="00CE44E0"/>
    <w:rsid w:val="00CE634B"/>
    <w:rsid w:val="00CE6C7E"/>
    <w:rsid w:val="00CE765E"/>
    <w:rsid w:val="00CF2B79"/>
    <w:rsid w:val="00D016B2"/>
    <w:rsid w:val="00D01FDC"/>
    <w:rsid w:val="00D04457"/>
    <w:rsid w:val="00D06E66"/>
    <w:rsid w:val="00D07EF5"/>
    <w:rsid w:val="00D11F45"/>
    <w:rsid w:val="00D16293"/>
    <w:rsid w:val="00D1798C"/>
    <w:rsid w:val="00D2323A"/>
    <w:rsid w:val="00D270C6"/>
    <w:rsid w:val="00D3271A"/>
    <w:rsid w:val="00D3774A"/>
    <w:rsid w:val="00D41F31"/>
    <w:rsid w:val="00D43C96"/>
    <w:rsid w:val="00D45D54"/>
    <w:rsid w:val="00D463BB"/>
    <w:rsid w:val="00D47A59"/>
    <w:rsid w:val="00D50C8E"/>
    <w:rsid w:val="00D56401"/>
    <w:rsid w:val="00D56D3F"/>
    <w:rsid w:val="00D60EA7"/>
    <w:rsid w:val="00D61034"/>
    <w:rsid w:val="00D61818"/>
    <w:rsid w:val="00D6288E"/>
    <w:rsid w:val="00D62EBC"/>
    <w:rsid w:val="00D63037"/>
    <w:rsid w:val="00D63843"/>
    <w:rsid w:val="00D64824"/>
    <w:rsid w:val="00D665B4"/>
    <w:rsid w:val="00D66F31"/>
    <w:rsid w:val="00D678A6"/>
    <w:rsid w:val="00D84936"/>
    <w:rsid w:val="00D871EF"/>
    <w:rsid w:val="00D9564A"/>
    <w:rsid w:val="00DA1018"/>
    <w:rsid w:val="00DA300A"/>
    <w:rsid w:val="00DA519F"/>
    <w:rsid w:val="00DA7483"/>
    <w:rsid w:val="00DB08E2"/>
    <w:rsid w:val="00DB61FF"/>
    <w:rsid w:val="00DB6D70"/>
    <w:rsid w:val="00DB72E9"/>
    <w:rsid w:val="00DB7B69"/>
    <w:rsid w:val="00DC048E"/>
    <w:rsid w:val="00DC1DCF"/>
    <w:rsid w:val="00DD0126"/>
    <w:rsid w:val="00DD5A16"/>
    <w:rsid w:val="00DD666B"/>
    <w:rsid w:val="00DD688A"/>
    <w:rsid w:val="00DD6B00"/>
    <w:rsid w:val="00DD6F94"/>
    <w:rsid w:val="00DD7E0F"/>
    <w:rsid w:val="00DE0620"/>
    <w:rsid w:val="00DE23CD"/>
    <w:rsid w:val="00DE5B0F"/>
    <w:rsid w:val="00DE5B3A"/>
    <w:rsid w:val="00DE7057"/>
    <w:rsid w:val="00DF1C5A"/>
    <w:rsid w:val="00E00250"/>
    <w:rsid w:val="00E00BFB"/>
    <w:rsid w:val="00E02876"/>
    <w:rsid w:val="00E05D0C"/>
    <w:rsid w:val="00E102D6"/>
    <w:rsid w:val="00E131E4"/>
    <w:rsid w:val="00E218BC"/>
    <w:rsid w:val="00E25FF2"/>
    <w:rsid w:val="00E272CB"/>
    <w:rsid w:val="00E27E99"/>
    <w:rsid w:val="00E350C5"/>
    <w:rsid w:val="00E36839"/>
    <w:rsid w:val="00E36CFE"/>
    <w:rsid w:val="00E376EB"/>
    <w:rsid w:val="00E416F7"/>
    <w:rsid w:val="00E43039"/>
    <w:rsid w:val="00E433A3"/>
    <w:rsid w:val="00E44E08"/>
    <w:rsid w:val="00E539EA"/>
    <w:rsid w:val="00E56C80"/>
    <w:rsid w:val="00E74C34"/>
    <w:rsid w:val="00E75314"/>
    <w:rsid w:val="00E80DA9"/>
    <w:rsid w:val="00E837D9"/>
    <w:rsid w:val="00E840BF"/>
    <w:rsid w:val="00E908F6"/>
    <w:rsid w:val="00E9195D"/>
    <w:rsid w:val="00E92EA6"/>
    <w:rsid w:val="00E96710"/>
    <w:rsid w:val="00E97EDE"/>
    <w:rsid w:val="00EA1D65"/>
    <w:rsid w:val="00EA4436"/>
    <w:rsid w:val="00EB1612"/>
    <w:rsid w:val="00EB1A85"/>
    <w:rsid w:val="00EB41E9"/>
    <w:rsid w:val="00EC30C6"/>
    <w:rsid w:val="00EC46D1"/>
    <w:rsid w:val="00ED13A4"/>
    <w:rsid w:val="00ED6F6D"/>
    <w:rsid w:val="00EE0618"/>
    <w:rsid w:val="00EE2A9F"/>
    <w:rsid w:val="00EE44EE"/>
    <w:rsid w:val="00EF01EB"/>
    <w:rsid w:val="00EF053A"/>
    <w:rsid w:val="00EF0A6C"/>
    <w:rsid w:val="00EF187A"/>
    <w:rsid w:val="00EF3DBE"/>
    <w:rsid w:val="00EF61B7"/>
    <w:rsid w:val="00F01C6C"/>
    <w:rsid w:val="00F027A1"/>
    <w:rsid w:val="00F02EA4"/>
    <w:rsid w:val="00F04FBB"/>
    <w:rsid w:val="00F050FE"/>
    <w:rsid w:val="00F07103"/>
    <w:rsid w:val="00F15B9E"/>
    <w:rsid w:val="00F15C83"/>
    <w:rsid w:val="00F220A6"/>
    <w:rsid w:val="00F2218A"/>
    <w:rsid w:val="00F235A7"/>
    <w:rsid w:val="00F25280"/>
    <w:rsid w:val="00F31C52"/>
    <w:rsid w:val="00F3466D"/>
    <w:rsid w:val="00F42B41"/>
    <w:rsid w:val="00F44A31"/>
    <w:rsid w:val="00F521A2"/>
    <w:rsid w:val="00F522B6"/>
    <w:rsid w:val="00F56D48"/>
    <w:rsid w:val="00F57504"/>
    <w:rsid w:val="00F57F5E"/>
    <w:rsid w:val="00F60A85"/>
    <w:rsid w:val="00F62865"/>
    <w:rsid w:val="00F62EAE"/>
    <w:rsid w:val="00F63AA7"/>
    <w:rsid w:val="00F65987"/>
    <w:rsid w:val="00F72192"/>
    <w:rsid w:val="00F726E0"/>
    <w:rsid w:val="00F75192"/>
    <w:rsid w:val="00F76731"/>
    <w:rsid w:val="00F827A1"/>
    <w:rsid w:val="00F830ED"/>
    <w:rsid w:val="00F84139"/>
    <w:rsid w:val="00F91EF7"/>
    <w:rsid w:val="00F924AA"/>
    <w:rsid w:val="00F93F14"/>
    <w:rsid w:val="00F96518"/>
    <w:rsid w:val="00F97D98"/>
    <w:rsid w:val="00FA170B"/>
    <w:rsid w:val="00FA3205"/>
    <w:rsid w:val="00FA5EC2"/>
    <w:rsid w:val="00FB0230"/>
    <w:rsid w:val="00FB49AA"/>
    <w:rsid w:val="00FB7A20"/>
    <w:rsid w:val="00FC0939"/>
    <w:rsid w:val="00FC227B"/>
    <w:rsid w:val="00FC31BC"/>
    <w:rsid w:val="00FC46D4"/>
    <w:rsid w:val="00FC48CA"/>
    <w:rsid w:val="00FC674B"/>
    <w:rsid w:val="00FD0D13"/>
    <w:rsid w:val="00FD4934"/>
    <w:rsid w:val="00FD6CA9"/>
    <w:rsid w:val="00FD7E3F"/>
    <w:rsid w:val="00FE0D41"/>
    <w:rsid w:val="00FE2152"/>
    <w:rsid w:val="00FE23A0"/>
    <w:rsid w:val="00FE3D9F"/>
    <w:rsid w:val="00FE549C"/>
    <w:rsid w:val="00FE668E"/>
    <w:rsid w:val="00FE7349"/>
    <w:rsid w:val="00FF0F7B"/>
    <w:rsid w:val="00FF7BF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List Bullet" w:uiPriority="0"/>
    <w:lsdException w:name="List Number 4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BD6D7E"/>
    <w:pPr>
      <w:spacing w:before="120" w:after="120"/>
      <w:jc w:val="both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62E7B"/>
    <w:pPr>
      <w:keepNext/>
      <w:numPr>
        <w:numId w:val="20"/>
      </w:numPr>
      <w:spacing w:before="240" w:after="240"/>
      <w:outlineLvl w:val="0"/>
    </w:pPr>
    <w:rPr>
      <w:b/>
      <w:smallCaps/>
      <w:sz w:val="28"/>
      <w:lang w:val="fr-BE"/>
    </w:rPr>
  </w:style>
  <w:style w:type="paragraph" w:styleId="Heading2">
    <w:name w:val="heading 2"/>
    <w:basedOn w:val="Heading1"/>
    <w:next w:val="Normal"/>
    <w:link w:val="Heading2Char"/>
    <w:autoRedefine/>
    <w:qFormat/>
    <w:rsid w:val="00E272CB"/>
    <w:pPr>
      <w:numPr>
        <w:ilvl w:val="1"/>
      </w:numPr>
      <w:ind w:left="0"/>
      <w:outlineLvl w:val="1"/>
    </w:pPr>
    <w:rPr>
      <w:smallCaps w:val="0"/>
      <w:sz w:val="24"/>
    </w:rPr>
  </w:style>
  <w:style w:type="paragraph" w:styleId="Heading3">
    <w:name w:val="heading 3"/>
    <w:basedOn w:val="Heading2"/>
    <w:next w:val="Normal"/>
    <w:link w:val="Heading3Char"/>
    <w:autoRedefine/>
    <w:qFormat/>
    <w:rsid w:val="00F235A7"/>
    <w:pPr>
      <w:numPr>
        <w:ilvl w:val="2"/>
      </w:numPr>
      <w:outlineLvl w:val="2"/>
    </w:pPr>
    <w:rPr>
      <w:b w:val="0"/>
      <w:color w:val="000000"/>
    </w:rPr>
  </w:style>
  <w:style w:type="paragraph" w:styleId="Heading4">
    <w:name w:val="heading 4"/>
    <w:basedOn w:val="Heading3"/>
    <w:next w:val="Normal"/>
    <w:link w:val="Heading4Char"/>
    <w:qFormat/>
    <w:rsid w:val="00554619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1D534D"/>
    <w:pPr>
      <w:numPr>
        <w:ilvl w:val="4"/>
      </w:numPr>
      <w:jc w:val="left"/>
      <w:outlineLvl w:val="4"/>
    </w:pPr>
    <w:rPr>
      <w:rFonts w:ascii="Arial" w:hAnsi="Arial"/>
      <w:b/>
      <w:i w:val="0"/>
      <w:noProof/>
      <w:sz w:val="22"/>
    </w:rPr>
  </w:style>
  <w:style w:type="paragraph" w:styleId="Heading6">
    <w:name w:val="heading 6"/>
    <w:basedOn w:val="Heading5"/>
    <w:next w:val="Normal"/>
    <w:qFormat/>
    <w:rsid w:val="00F235A7"/>
    <w:pPr>
      <w:numPr>
        <w:ilvl w:val="5"/>
      </w:numPr>
      <w:spacing w:after="60"/>
      <w:outlineLvl w:val="5"/>
    </w:pPr>
    <w:rPr>
      <w:b w:val="0"/>
    </w:rPr>
  </w:style>
  <w:style w:type="paragraph" w:styleId="Heading7">
    <w:name w:val="heading 7"/>
    <w:basedOn w:val="Heading6"/>
    <w:next w:val="Normal"/>
    <w:qFormat/>
    <w:rsid w:val="00F235A7"/>
    <w:pPr>
      <w:numPr>
        <w:ilvl w:val="6"/>
      </w:numPr>
      <w:outlineLvl w:val="6"/>
    </w:pPr>
    <w:rPr>
      <w:i/>
    </w:rPr>
  </w:style>
  <w:style w:type="paragraph" w:styleId="Heading8">
    <w:name w:val="heading 8"/>
    <w:basedOn w:val="Heading7"/>
    <w:next w:val="Normal"/>
    <w:qFormat/>
    <w:rsid w:val="001D534D"/>
    <w:pPr>
      <w:numPr>
        <w:ilvl w:val="7"/>
      </w:numPr>
      <w:outlineLvl w:val="7"/>
    </w:pPr>
    <w:rPr>
      <w:rFonts w:ascii="Calibri" w:hAnsi="Calibri"/>
      <w:b/>
      <w:i w:val="0"/>
      <w:sz w:val="24"/>
    </w:rPr>
  </w:style>
  <w:style w:type="paragraph" w:styleId="Heading9">
    <w:name w:val="heading 9"/>
    <w:basedOn w:val="Heading8"/>
    <w:next w:val="Normal"/>
    <w:qFormat/>
    <w:rsid w:val="00F235A7"/>
    <w:pPr>
      <w:numPr>
        <w:ilvl w:val="8"/>
      </w:numPr>
      <w:outlineLvl w:val="8"/>
    </w:pPr>
    <w:rPr>
      <w:b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ext1">
    <w:name w:val="Text 1"/>
    <w:basedOn w:val="Normal"/>
    <w:pPr>
      <w:ind w:left="482"/>
    </w:pPr>
  </w:style>
  <w:style w:type="paragraph" w:customStyle="1" w:styleId="Text2">
    <w:name w:val="Text 2"/>
    <w:basedOn w:val="Normal"/>
    <w:link w:val="Text2Char"/>
    <w:pPr>
      <w:tabs>
        <w:tab w:val="left" w:pos="2302"/>
      </w:tabs>
      <w:ind w:left="1202"/>
    </w:pPr>
  </w:style>
  <w:style w:type="paragraph" w:customStyle="1" w:styleId="Text3">
    <w:name w:val="Text 3"/>
    <w:basedOn w:val="Normal"/>
    <w:pPr>
      <w:tabs>
        <w:tab w:val="left" w:pos="2302"/>
      </w:tabs>
      <w:ind w:left="1202"/>
    </w:pPr>
  </w:style>
  <w:style w:type="paragraph" w:customStyle="1" w:styleId="Text4">
    <w:name w:val="Text 4"/>
    <w:basedOn w:val="Normal"/>
    <w:pPr>
      <w:tabs>
        <w:tab w:val="left" w:pos="2302"/>
      </w:tabs>
      <w:ind w:left="1202"/>
    </w:pPr>
  </w:style>
  <w:style w:type="paragraph" w:customStyle="1" w:styleId="Address">
    <w:name w:val="Address"/>
    <w:basedOn w:val="Normal"/>
    <w:pPr>
      <w:spacing w:after="0"/>
      <w:jc w:val="left"/>
    </w:pPr>
  </w:style>
  <w:style w:type="paragraph" w:customStyle="1" w:styleId="AddressTL">
    <w:name w:val="AddressTL"/>
    <w:basedOn w:val="Normal"/>
    <w:next w:val="Normal"/>
    <w:pPr>
      <w:spacing w:after="720"/>
      <w:jc w:val="left"/>
    </w:pPr>
  </w:style>
  <w:style w:type="paragraph" w:customStyle="1" w:styleId="AddressTR">
    <w:name w:val="AddressTR"/>
    <w:basedOn w:val="Normal"/>
    <w:next w:val="Normal"/>
    <w:pPr>
      <w:spacing w:after="720"/>
      <w:ind w:left="5103"/>
      <w:jc w:val="left"/>
    </w:pPr>
  </w:style>
  <w:style w:type="paragraph" w:styleId="BlockText">
    <w:name w:val="Block Text"/>
    <w:basedOn w:val="Normal"/>
    <w:pPr>
      <w:ind w:left="1440" w:right="1440"/>
    </w:pPr>
  </w:style>
  <w:style w:type="paragraph" w:styleId="BodyText">
    <w:name w:val="Body Text"/>
    <w:basedOn w:val="Normal"/>
  </w:style>
  <w:style w:type="paragraph" w:styleId="BodyText2">
    <w:name w:val="Body Text 2"/>
    <w:basedOn w:val="Normal"/>
    <w:pPr>
      <w:spacing w:line="480" w:lineRule="auto"/>
    </w:pPr>
  </w:style>
  <w:style w:type="paragraph" w:styleId="BodyText3">
    <w:name w:val="Body Text 3"/>
    <w:basedOn w:val="Normal"/>
    <w:rPr>
      <w:sz w:val="16"/>
    </w:rPr>
  </w:style>
  <w:style w:type="paragraph" w:styleId="BodyTextFirstIndent">
    <w:name w:val="Body Text First Indent"/>
    <w:basedOn w:val="BodyText"/>
    <w:pPr>
      <w:ind w:firstLine="210"/>
    </w:pPr>
  </w:style>
  <w:style w:type="paragraph" w:styleId="BodyTextIndent">
    <w:name w:val="Body Text Indent"/>
    <w:basedOn w:val="Normal"/>
    <w:pPr>
      <w:ind w:left="283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line="480" w:lineRule="auto"/>
      <w:ind w:left="283"/>
    </w:pPr>
  </w:style>
  <w:style w:type="paragraph" w:styleId="BodyTextIndent3">
    <w:name w:val="Body Text Indent 3"/>
    <w:basedOn w:val="Normal"/>
    <w:pPr>
      <w:ind w:left="283"/>
    </w:pPr>
    <w:rPr>
      <w:sz w:val="16"/>
    </w:rPr>
  </w:style>
  <w:style w:type="paragraph" w:styleId="Caption">
    <w:name w:val="caption"/>
    <w:basedOn w:val="Normal"/>
    <w:next w:val="Normal"/>
    <w:qFormat/>
    <w:rPr>
      <w:b/>
    </w:rPr>
  </w:style>
  <w:style w:type="paragraph" w:customStyle="1" w:styleId="ChapterTitle">
    <w:name w:val="ChapterTitle"/>
    <w:basedOn w:val="Normal"/>
    <w:next w:val="SectionTitle"/>
    <w:pPr>
      <w:keepNext/>
      <w:spacing w:after="480"/>
      <w:jc w:val="center"/>
    </w:pPr>
    <w:rPr>
      <w:b/>
      <w:sz w:val="32"/>
    </w:rPr>
  </w:style>
  <w:style w:type="paragraph" w:customStyle="1" w:styleId="SectionTitle">
    <w:name w:val="SectionTitle"/>
    <w:basedOn w:val="Normal"/>
    <w:next w:val="Heading1"/>
    <w:pPr>
      <w:keepNext/>
      <w:spacing w:after="480"/>
      <w:jc w:val="center"/>
    </w:pPr>
    <w:rPr>
      <w:b/>
      <w:smallCaps/>
      <w:sz w:val="28"/>
    </w:rPr>
  </w:style>
  <w:style w:type="paragraph" w:styleId="Closing">
    <w:name w:val="Closing"/>
    <w:basedOn w:val="Normal"/>
    <w:pPr>
      <w:ind w:left="4252"/>
    </w:pPr>
  </w:style>
  <w:style w:type="paragraph" w:styleId="CommentText">
    <w:name w:val="annotation text"/>
    <w:basedOn w:val="Normal"/>
    <w:semiHidden/>
    <w:rPr>
      <w:sz w:val="20"/>
    </w:rPr>
  </w:style>
  <w:style w:type="paragraph" w:styleId="Date">
    <w:name w:val="Date"/>
    <w:basedOn w:val="Normal"/>
    <w:next w:val="References"/>
    <w:pPr>
      <w:spacing w:after="0"/>
      <w:ind w:left="5103" w:right="-567"/>
      <w:jc w:val="left"/>
    </w:pPr>
  </w:style>
  <w:style w:type="paragraph" w:customStyle="1" w:styleId="References">
    <w:name w:val="References"/>
    <w:basedOn w:val="Normal"/>
    <w:next w:val="AddressTR"/>
    <w:uiPriority w:val="99"/>
    <w:pPr>
      <w:ind w:left="5103"/>
      <w:jc w:val="left"/>
    </w:pPr>
    <w:rPr>
      <w:sz w:val="20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DoubSign">
    <w:name w:val="DoubSign"/>
    <w:basedOn w:val="Normal"/>
    <w:next w:val="Enclosures"/>
    <w:pPr>
      <w:tabs>
        <w:tab w:val="left" w:pos="5103"/>
      </w:tabs>
      <w:spacing w:before="1200" w:after="0"/>
      <w:jc w:val="left"/>
    </w:pPr>
  </w:style>
  <w:style w:type="paragraph" w:customStyle="1" w:styleId="Enclosures">
    <w:name w:val="Enclosures"/>
    <w:basedOn w:val="Normal"/>
    <w:pPr>
      <w:keepNext/>
      <w:keepLines/>
      <w:tabs>
        <w:tab w:val="left" w:pos="5642"/>
      </w:tabs>
      <w:spacing w:before="480" w:after="0"/>
      <w:ind w:left="1191" w:hanging="1191"/>
      <w:jc w:val="left"/>
    </w:pPr>
  </w:style>
  <w:style w:type="paragraph" w:styleId="EndnoteText">
    <w:name w:val="endnote text"/>
    <w:basedOn w:val="Normal"/>
    <w:semiHidden/>
    <w:rPr>
      <w:sz w:val="20"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spacing w:after="0"/>
    </w:pPr>
  </w:style>
  <w:style w:type="paragraph" w:styleId="EnvelopeReturn">
    <w:name w:val="envelope return"/>
    <w:basedOn w:val="Normal"/>
    <w:pPr>
      <w:spacing w:after="0"/>
    </w:pPr>
    <w:rPr>
      <w:sz w:val="20"/>
    </w:rPr>
  </w:style>
  <w:style w:type="paragraph" w:styleId="Footer">
    <w:name w:val="footer"/>
    <w:basedOn w:val="Normal"/>
    <w:link w:val="FooterChar"/>
    <w:uiPriority w:val="99"/>
    <w:pPr>
      <w:spacing w:after="0"/>
      <w:ind w:right="-567"/>
      <w:jc w:val="left"/>
    </w:pPr>
    <w:rPr>
      <w:rFonts w:ascii="Arial" w:hAnsi="Arial"/>
      <w:sz w:val="16"/>
    </w:rPr>
  </w:style>
  <w:style w:type="paragraph" w:styleId="FootnoteText">
    <w:name w:val="footnote text"/>
    <w:basedOn w:val="Normal"/>
    <w:semiHidden/>
    <w:pPr>
      <w:ind w:left="357" w:hanging="357"/>
    </w:pPr>
    <w:rPr>
      <w:sz w:val="20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A6135"/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/>
      <w:b/>
    </w:rPr>
  </w:style>
  <w:style w:type="paragraph" w:styleId="List">
    <w:name w:val="List"/>
    <w:basedOn w:val="Normal"/>
    <w:pPr>
      <w:ind w:left="283" w:hanging="283"/>
    </w:pPr>
  </w:style>
  <w:style w:type="paragraph" w:styleId="List2">
    <w:name w:val="List 2"/>
    <w:basedOn w:val="Normal"/>
    <w:pPr>
      <w:ind w:left="566" w:hanging="283"/>
    </w:p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pPr>
      <w:numPr>
        <w:numId w:val="3"/>
      </w:numPr>
    </w:pPr>
  </w:style>
  <w:style w:type="paragraph" w:styleId="ListBullet2">
    <w:name w:val="List Bullet 2"/>
    <w:basedOn w:val="Text2"/>
    <w:pPr>
      <w:numPr>
        <w:numId w:val="5"/>
      </w:numPr>
      <w:tabs>
        <w:tab w:val="clear" w:pos="2302"/>
      </w:tabs>
    </w:pPr>
  </w:style>
  <w:style w:type="paragraph" w:styleId="ListBullet3">
    <w:name w:val="List Bullet 3"/>
    <w:basedOn w:val="Text3"/>
    <w:pPr>
      <w:numPr>
        <w:numId w:val="6"/>
      </w:numPr>
      <w:tabs>
        <w:tab w:val="clear" w:pos="2302"/>
      </w:tabs>
    </w:pPr>
  </w:style>
  <w:style w:type="paragraph" w:styleId="ListBullet4">
    <w:name w:val="List Bullet 4"/>
    <w:basedOn w:val="Text4"/>
    <w:pPr>
      <w:numPr>
        <w:numId w:val="7"/>
      </w:numPr>
      <w:tabs>
        <w:tab w:val="clear" w:pos="2302"/>
      </w:tabs>
    </w:pPr>
  </w:style>
  <w:style w:type="paragraph" w:styleId="ListBullet5">
    <w:name w:val="List Bullet 5"/>
    <w:basedOn w:val="Normal"/>
    <w:autoRedefine/>
    <w:pPr>
      <w:numPr>
        <w:numId w:val="1"/>
      </w:numPr>
    </w:pPr>
  </w:style>
  <w:style w:type="paragraph" w:styleId="ListContinue">
    <w:name w:val="List Continue"/>
    <w:basedOn w:val="Normal"/>
    <w:pPr>
      <w:ind w:left="283"/>
    </w:pPr>
  </w:style>
  <w:style w:type="paragraph" w:styleId="ListContinue2">
    <w:name w:val="List Continue 2"/>
    <w:basedOn w:val="Normal"/>
    <w:pPr>
      <w:ind w:left="566"/>
    </w:pPr>
  </w:style>
  <w:style w:type="paragraph" w:styleId="ListContinue3">
    <w:name w:val="List Continue 3"/>
    <w:basedOn w:val="Normal"/>
    <w:pPr>
      <w:ind w:left="849"/>
    </w:pPr>
  </w:style>
  <w:style w:type="paragraph" w:styleId="ListContinue4">
    <w:name w:val="List Continue 4"/>
    <w:basedOn w:val="Normal"/>
    <w:pPr>
      <w:ind w:left="1132"/>
    </w:pPr>
  </w:style>
  <w:style w:type="paragraph" w:styleId="ListContinue5">
    <w:name w:val="List Continue 5"/>
    <w:basedOn w:val="Normal"/>
    <w:pPr>
      <w:ind w:left="1415"/>
    </w:pPr>
  </w:style>
  <w:style w:type="paragraph" w:styleId="ListNumber">
    <w:name w:val="List Number"/>
    <w:basedOn w:val="Normal"/>
    <w:pPr>
      <w:numPr>
        <w:numId w:val="13"/>
      </w:numPr>
    </w:pPr>
  </w:style>
  <w:style w:type="paragraph" w:styleId="ListNumber2">
    <w:name w:val="List Number 2"/>
    <w:basedOn w:val="Text2"/>
    <w:pPr>
      <w:numPr>
        <w:numId w:val="15"/>
      </w:numPr>
      <w:tabs>
        <w:tab w:val="clear" w:pos="2302"/>
      </w:tabs>
    </w:pPr>
  </w:style>
  <w:style w:type="paragraph" w:styleId="ListNumber3">
    <w:name w:val="List Number 3"/>
    <w:basedOn w:val="Text3"/>
    <w:pPr>
      <w:numPr>
        <w:numId w:val="16"/>
      </w:numPr>
      <w:tabs>
        <w:tab w:val="clear" w:pos="2302"/>
      </w:tabs>
    </w:pPr>
  </w:style>
  <w:style w:type="paragraph" w:styleId="ListNumber4">
    <w:name w:val="List Number 4"/>
    <w:basedOn w:val="Text4"/>
    <w:pPr>
      <w:numPr>
        <w:numId w:val="17"/>
      </w:numPr>
      <w:tabs>
        <w:tab w:val="clear" w:pos="2302"/>
      </w:tabs>
    </w:pPr>
  </w:style>
  <w:style w:type="paragraph" w:styleId="ListNumber5">
    <w:name w:val="List Number 5"/>
    <w:basedOn w:val="Normal"/>
    <w:pPr>
      <w:numPr>
        <w:numId w:val="2"/>
      </w:numPr>
    </w:p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40"/>
      <w:jc w:val="both"/>
    </w:pPr>
    <w:rPr>
      <w:rFonts w:ascii="Courier New" w:hAnsi="Courier New"/>
      <w:lang w:val="en-GB"/>
    </w:r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customStyle="1" w:styleId="NoteHead">
    <w:name w:val="NoteHead"/>
    <w:basedOn w:val="Normal"/>
    <w:next w:val="Subject"/>
    <w:pPr>
      <w:spacing w:before="720" w:after="720"/>
      <w:jc w:val="center"/>
    </w:pPr>
    <w:rPr>
      <w:b/>
      <w:smallCaps/>
    </w:rPr>
  </w:style>
  <w:style w:type="paragraph" w:customStyle="1" w:styleId="Subject">
    <w:name w:val="Subject"/>
    <w:basedOn w:val="Normal"/>
    <w:next w:val="Normal"/>
    <w:pPr>
      <w:spacing w:after="480"/>
      <w:ind w:left="1531" w:hanging="1531"/>
      <w:jc w:val="left"/>
    </w:pPr>
    <w:rPr>
      <w:b/>
    </w:rPr>
  </w:style>
  <w:style w:type="paragraph" w:customStyle="1" w:styleId="NoteList">
    <w:name w:val="NoteList"/>
    <w:basedOn w:val="Normal"/>
    <w:next w:val="Subject"/>
    <w:pPr>
      <w:tabs>
        <w:tab w:val="left" w:pos="5823"/>
      </w:tabs>
      <w:spacing w:before="720" w:after="720"/>
      <w:ind w:left="5104" w:hanging="3119"/>
      <w:jc w:val="left"/>
    </w:pPr>
    <w:rPr>
      <w:b/>
      <w:smallCaps/>
    </w:rPr>
  </w:style>
  <w:style w:type="paragraph" w:customStyle="1" w:styleId="NumPar1">
    <w:name w:val="NumPar 1"/>
    <w:basedOn w:val="Heading1"/>
    <w:next w:val="Text1"/>
    <w:pPr>
      <w:keepNext w:val="0"/>
      <w:spacing w:before="0"/>
      <w:outlineLvl w:val="9"/>
    </w:pPr>
    <w:rPr>
      <w:b w:val="0"/>
      <w:smallCaps w:val="0"/>
    </w:rPr>
  </w:style>
  <w:style w:type="paragraph" w:customStyle="1" w:styleId="NumPar2">
    <w:name w:val="NumPar 2"/>
    <w:basedOn w:val="Heading2"/>
    <w:next w:val="Text2"/>
    <w:pPr>
      <w:keepNext w:val="0"/>
      <w:outlineLvl w:val="9"/>
    </w:pPr>
    <w:rPr>
      <w:b w:val="0"/>
    </w:rPr>
  </w:style>
  <w:style w:type="paragraph" w:customStyle="1" w:styleId="NumPar3">
    <w:name w:val="NumPar 3"/>
    <w:basedOn w:val="Heading3"/>
    <w:next w:val="Text3"/>
    <w:pPr>
      <w:keepNext w:val="0"/>
      <w:outlineLvl w:val="9"/>
    </w:pPr>
    <w:rPr>
      <w:i/>
    </w:rPr>
  </w:style>
  <w:style w:type="paragraph" w:customStyle="1" w:styleId="NumPar4">
    <w:name w:val="NumPar 4"/>
    <w:basedOn w:val="Heading4"/>
    <w:next w:val="Text4"/>
    <w:pPr>
      <w:keepNext w:val="0"/>
      <w:outlineLvl w:val="9"/>
    </w:pPr>
  </w:style>
  <w:style w:type="paragraph" w:customStyle="1" w:styleId="PartTitle">
    <w:name w:val="PartTitle"/>
    <w:basedOn w:val="Normal"/>
    <w:next w:val="ChapterTitle"/>
    <w:pPr>
      <w:keepNext/>
      <w:pageBreakBefore/>
      <w:spacing w:after="480"/>
      <w:jc w:val="center"/>
    </w:pPr>
    <w:rPr>
      <w:b/>
      <w:sz w:val="36"/>
    </w:rPr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next w:val="Enclosures"/>
    <w:pPr>
      <w:tabs>
        <w:tab w:val="left" w:pos="5103"/>
      </w:tabs>
      <w:spacing w:before="1200" w:after="0"/>
      <w:ind w:left="5103"/>
      <w:jc w:val="center"/>
    </w:p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/>
    </w:rPr>
  </w:style>
  <w:style w:type="paragraph" w:customStyle="1" w:styleId="SubTitle1">
    <w:name w:val="SubTitle 1"/>
    <w:basedOn w:val="Normal"/>
    <w:next w:val="SubTitle2"/>
    <w:pPr>
      <w:jc w:val="center"/>
    </w:pPr>
    <w:rPr>
      <w:b/>
      <w:sz w:val="40"/>
    </w:rPr>
  </w:style>
  <w:style w:type="paragraph" w:customStyle="1" w:styleId="SubTitle2">
    <w:name w:val="SubTitle 2"/>
    <w:basedOn w:val="Normal"/>
    <w:pPr>
      <w:jc w:val="center"/>
    </w:pPr>
    <w:rPr>
      <w:b/>
      <w:sz w:val="32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pPr>
      <w:ind w:left="480" w:hanging="480"/>
    </w:pPr>
  </w:style>
  <w:style w:type="paragraph" w:styleId="Title">
    <w:name w:val="Title"/>
    <w:basedOn w:val="Normal"/>
    <w:next w:val="SubTitle1"/>
    <w:link w:val="TitleChar"/>
    <w:qFormat/>
    <w:pPr>
      <w:spacing w:after="480"/>
      <w:jc w:val="center"/>
    </w:pPr>
    <w:rPr>
      <w:b/>
      <w:kern w:val="28"/>
      <w:sz w:val="48"/>
    </w:rPr>
  </w:style>
  <w:style w:type="paragraph" w:styleId="TOAHeading">
    <w:name w:val="toa heading"/>
    <w:basedOn w:val="Normal"/>
    <w:next w:val="Normal"/>
    <w:semiHidden/>
    <w:rPr>
      <w:rFonts w:ascii="Arial" w:hAnsi="Arial"/>
      <w:b/>
    </w:rPr>
  </w:style>
  <w:style w:type="paragraph" w:styleId="TOC1">
    <w:name w:val="toc 1"/>
    <w:basedOn w:val="Normal"/>
    <w:next w:val="Normal"/>
    <w:uiPriority w:val="39"/>
    <w:qFormat/>
    <w:rsid w:val="00062C4F"/>
    <w:pPr>
      <w:tabs>
        <w:tab w:val="right" w:leader="dot" w:pos="10206"/>
      </w:tabs>
      <w:ind w:left="482" w:right="720" w:hanging="482"/>
    </w:pPr>
    <w:rPr>
      <w:caps/>
    </w:rPr>
  </w:style>
  <w:style w:type="paragraph" w:styleId="TOC2">
    <w:name w:val="toc 2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595" w:right="720" w:hanging="595"/>
    </w:pPr>
  </w:style>
  <w:style w:type="paragraph" w:styleId="TOC3">
    <w:name w:val="toc 3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839" w:right="720" w:hanging="839"/>
    </w:pPr>
  </w:style>
  <w:style w:type="paragraph" w:styleId="TOC4">
    <w:name w:val="toc 4"/>
    <w:basedOn w:val="Normal"/>
    <w:next w:val="Normal"/>
    <w:uiPriority w:val="39"/>
    <w:pPr>
      <w:tabs>
        <w:tab w:val="right" w:leader="dot" w:pos="8641"/>
      </w:tabs>
      <w:spacing w:before="60" w:after="60"/>
      <w:ind w:left="2880" w:right="720" w:hanging="964"/>
    </w:pPr>
  </w:style>
  <w:style w:type="paragraph" w:styleId="TOC5">
    <w:name w:val="toc 5"/>
    <w:basedOn w:val="Normal"/>
    <w:next w:val="Normal"/>
    <w:uiPriority w:val="39"/>
    <w:pPr>
      <w:tabs>
        <w:tab w:val="right" w:leader="dot" w:pos="8641"/>
      </w:tabs>
      <w:spacing w:before="240"/>
      <w:ind w:right="720"/>
    </w:pPr>
    <w:rPr>
      <w:caps/>
    </w:rPr>
  </w:style>
  <w:style w:type="paragraph" w:styleId="TOC6">
    <w:name w:val="toc 6"/>
    <w:basedOn w:val="Normal"/>
    <w:next w:val="Normal"/>
    <w:autoRedefine/>
    <w:uiPriority w:val="39"/>
    <w:pPr>
      <w:ind w:left="1200"/>
    </w:pPr>
  </w:style>
  <w:style w:type="paragraph" w:styleId="TOC7">
    <w:name w:val="toc 7"/>
    <w:basedOn w:val="Normal"/>
    <w:next w:val="Normal"/>
    <w:autoRedefine/>
    <w:uiPriority w:val="39"/>
    <w:pPr>
      <w:ind w:left="1440"/>
    </w:pPr>
  </w:style>
  <w:style w:type="paragraph" w:styleId="TOC8">
    <w:name w:val="toc 8"/>
    <w:basedOn w:val="Normal"/>
    <w:next w:val="Normal"/>
    <w:autoRedefine/>
    <w:uiPriority w:val="39"/>
    <w:pPr>
      <w:ind w:left="1680"/>
    </w:pPr>
  </w:style>
  <w:style w:type="paragraph" w:styleId="TOC9">
    <w:name w:val="toc 9"/>
    <w:basedOn w:val="Normal"/>
    <w:next w:val="Normal"/>
    <w:autoRedefine/>
    <w:uiPriority w:val="39"/>
    <w:pPr>
      <w:ind w:left="1920"/>
    </w:pPr>
  </w:style>
  <w:style w:type="paragraph" w:customStyle="1" w:styleId="YReferences">
    <w:name w:val="YReferences"/>
    <w:basedOn w:val="Normal"/>
    <w:next w:val="Normal"/>
    <w:pPr>
      <w:spacing w:after="480"/>
      <w:ind w:left="1531" w:hanging="1531"/>
    </w:pPr>
  </w:style>
  <w:style w:type="paragraph" w:customStyle="1" w:styleId="ListBullet1">
    <w:name w:val="List Bullet 1"/>
    <w:basedOn w:val="Text1"/>
    <w:pPr>
      <w:numPr>
        <w:numId w:val="4"/>
      </w:numPr>
    </w:pPr>
  </w:style>
  <w:style w:type="paragraph" w:customStyle="1" w:styleId="ListDash">
    <w:name w:val="List Dash"/>
    <w:basedOn w:val="Normal"/>
    <w:pPr>
      <w:numPr>
        <w:numId w:val="8"/>
      </w:numPr>
    </w:pPr>
  </w:style>
  <w:style w:type="paragraph" w:customStyle="1" w:styleId="ListDash1">
    <w:name w:val="List Dash 1"/>
    <w:basedOn w:val="Text1"/>
    <w:pPr>
      <w:numPr>
        <w:numId w:val="9"/>
      </w:numPr>
    </w:pPr>
  </w:style>
  <w:style w:type="paragraph" w:customStyle="1" w:styleId="ListDash2">
    <w:name w:val="List Dash 2"/>
    <w:basedOn w:val="Text2"/>
    <w:pPr>
      <w:numPr>
        <w:numId w:val="10"/>
      </w:numPr>
      <w:tabs>
        <w:tab w:val="clear" w:pos="2302"/>
      </w:tabs>
    </w:pPr>
  </w:style>
  <w:style w:type="paragraph" w:customStyle="1" w:styleId="ListDash3">
    <w:name w:val="List Dash 3"/>
    <w:basedOn w:val="Text3"/>
    <w:pPr>
      <w:numPr>
        <w:numId w:val="11"/>
      </w:numPr>
      <w:tabs>
        <w:tab w:val="clear" w:pos="2302"/>
      </w:tabs>
    </w:pPr>
  </w:style>
  <w:style w:type="paragraph" w:customStyle="1" w:styleId="ListDash4">
    <w:name w:val="List Dash 4"/>
    <w:basedOn w:val="Text4"/>
    <w:pPr>
      <w:numPr>
        <w:numId w:val="12"/>
      </w:numPr>
      <w:tabs>
        <w:tab w:val="clear" w:pos="2302"/>
      </w:tabs>
    </w:pPr>
  </w:style>
  <w:style w:type="paragraph" w:customStyle="1" w:styleId="ListNumberLevel2">
    <w:name w:val="List Number (Level 2)"/>
    <w:basedOn w:val="Normal"/>
    <w:pPr>
      <w:numPr>
        <w:ilvl w:val="1"/>
        <w:numId w:val="13"/>
      </w:numPr>
    </w:pPr>
  </w:style>
  <w:style w:type="paragraph" w:customStyle="1" w:styleId="ListNumberLevel3">
    <w:name w:val="List Number (Level 3)"/>
    <w:basedOn w:val="Normal"/>
    <w:pPr>
      <w:numPr>
        <w:ilvl w:val="2"/>
        <w:numId w:val="13"/>
      </w:numPr>
    </w:pPr>
  </w:style>
  <w:style w:type="paragraph" w:customStyle="1" w:styleId="ListNumberLevel4">
    <w:name w:val="List Number (Level 4)"/>
    <w:basedOn w:val="Normal"/>
    <w:pPr>
      <w:numPr>
        <w:ilvl w:val="3"/>
        <w:numId w:val="13"/>
      </w:numPr>
    </w:pPr>
  </w:style>
  <w:style w:type="paragraph" w:customStyle="1" w:styleId="ListNumber1">
    <w:name w:val="List Number 1"/>
    <w:basedOn w:val="Text1"/>
    <w:pPr>
      <w:numPr>
        <w:numId w:val="14"/>
      </w:numPr>
    </w:pPr>
  </w:style>
  <w:style w:type="paragraph" w:customStyle="1" w:styleId="ListNumber1Level2">
    <w:name w:val="List Number 1 (Level 2)"/>
    <w:basedOn w:val="Text1"/>
    <w:pPr>
      <w:numPr>
        <w:ilvl w:val="1"/>
        <w:numId w:val="14"/>
      </w:numPr>
    </w:pPr>
  </w:style>
  <w:style w:type="paragraph" w:customStyle="1" w:styleId="ListNumber1Level3">
    <w:name w:val="List Number 1 (Level 3)"/>
    <w:basedOn w:val="Text1"/>
    <w:pPr>
      <w:numPr>
        <w:ilvl w:val="2"/>
        <w:numId w:val="14"/>
      </w:numPr>
    </w:pPr>
  </w:style>
  <w:style w:type="paragraph" w:customStyle="1" w:styleId="ListNumber1Level4">
    <w:name w:val="List Number 1 (Level 4)"/>
    <w:basedOn w:val="Text1"/>
    <w:pPr>
      <w:numPr>
        <w:ilvl w:val="3"/>
        <w:numId w:val="14"/>
      </w:numPr>
    </w:pPr>
  </w:style>
  <w:style w:type="paragraph" w:customStyle="1" w:styleId="ListNumber2Level2">
    <w:name w:val="List Number 2 (Level 2)"/>
    <w:basedOn w:val="Text2"/>
    <w:pPr>
      <w:numPr>
        <w:ilvl w:val="1"/>
        <w:numId w:val="15"/>
      </w:numPr>
      <w:tabs>
        <w:tab w:val="clear" w:pos="2302"/>
      </w:tabs>
    </w:pPr>
  </w:style>
  <w:style w:type="paragraph" w:customStyle="1" w:styleId="ListNumber2Level3">
    <w:name w:val="List Number 2 (Level 3)"/>
    <w:basedOn w:val="Text2"/>
    <w:pPr>
      <w:numPr>
        <w:ilvl w:val="2"/>
        <w:numId w:val="15"/>
      </w:numPr>
      <w:tabs>
        <w:tab w:val="clear" w:pos="2302"/>
      </w:tabs>
    </w:pPr>
  </w:style>
  <w:style w:type="paragraph" w:customStyle="1" w:styleId="ListNumber2Level4">
    <w:name w:val="List Number 2 (Level 4)"/>
    <w:basedOn w:val="Text2"/>
    <w:pPr>
      <w:numPr>
        <w:ilvl w:val="3"/>
        <w:numId w:val="15"/>
      </w:numPr>
      <w:tabs>
        <w:tab w:val="clear" w:pos="2302"/>
      </w:tabs>
    </w:pPr>
  </w:style>
  <w:style w:type="paragraph" w:customStyle="1" w:styleId="ListNumber3Level2">
    <w:name w:val="List Number 3 (Level 2)"/>
    <w:basedOn w:val="Text3"/>
    <w:pPr>
      <w:numPr>
        <w:ilvl w:val="1"/>
        <w:numId w:val="16"/>
      </w:numPr>
      <w:tabs>
        <w:tab w:val="clear" w:pos="2302"/>
      </w:tabs>
    </w:pPr>
  </w:style>
  <w:style w:type="paragraph" w:customStyle="1" w:styleId="ListNumber3Level3">
    <w:name w:val="List Number 3 (Level 3)"/>
    <w:basedOn w:val="Text3"/>
    <w:pPr>
      <w:numPr>
        <w:ilvl w:val="2"/>
        <w:numId w:val="16"/>
      </w:numPr>
      <w:tabs>
        <w:tab w:val="clear" w:pos="2302"/>
      </w:tabs>
    </w:pPr>
  </w:style>
  <w:style w:type="paragraph" w:customStyle="1" w:styleId="ListNumber3Level4">
    <w:name w:val="List Number 3 (Level 4)"/>
    <w:basedOn w:val="Text3"/>
    <w:pPr>
      <w:numPr>
        <w:ilvl w:val="3"/>
        <w:numId w:val="16"/>
      </w:numPr>
      <w:tabs>
        <w:tab w:val="clear" w:pos="2302"/>
      </w:tabs>
    </w:pPr>
  </w:style>
  <w:style w:type="paragraph" w:customStyle="1" w:styleId="ListNumber4Level2">
    <w:name w:val="List Number 4 (Level 2)"/>
    <w:basedOn w:val="Text4"/>
    <w:pPr>
      <w:numPr>
        <w:ilvl w:val="1"/>
        <w:numId w:val="17"/>
      </w:numPr>
      <w:tabs>
        <w:tab w:val="clear" w:pos="2302"/>
      </w:tabs>
    </w:pPr>
  </w:style>
  <w:style w:type="paragraph" w:customStyle="1" w:styleId="ListNumber4Level3">
    <w:name w:val="List Number 4 (Level 3)"/>
    <w:basedOn w:val="Text4"/>
    <w:pPr>
      <w:numPr>
        <w:ilvl w:val="2"/>
        <w:numId w:val="17"/>
      </w:numPr>
      <w:tabs>
        <w:tab w:val="clear" w:pos="2302"/>
      </w:tabs>
    </w:pPr>
  </w:style>
  <w:style w:type="paragraph" w:customStyle="1" w:styleId="ListNumber4Level4">
    <w:name w:val="List Number 4 (Level 4)"/>
    <w:basedOn w:val="Text4"/>
    <w:pPr>
      <w:numPr>
        <w:ilvl w:val="3"/>
        <w:numId w:val="17"/>
      </w:numPr>
      <w:tabs>
        <w:tab w:val="clear" w:pos="2302"/>
      </w:tabs>
    </w:pPr>
  </w:style>
  <w:style w:type="paragraph" w:styleId="TOCHeading">
    <w:name w:val="TOC Heading"/>
    <w:basedOn w:val="Normal"/>
    <w:next w:val="Normal"/>
    <w:uiPriority w:val="39"/>
    <w:qFormat/>
    <w:pPr>
      <w:keepNext/>
      <w:spacing w:before="240"/>
      <w:jc w:val="center"/>
    </w:pPr>
    <w:rPr>
      <w:b/>
    </w:rPr>
  </w:style>
  <w:style w:type="paragraph" w:customStyle="1" w:styleId="Contact">
    <w:name w:val="Contact"/>
    <w:basedOn w:val="Normal"/>
    <w:next w:val="Normal"/>
    <w:uiPriority w:val="99"/>
    <w:pPr>
      <w:spacing w:after="480"/>
      <w:ind w:left="567" w:hanging="567"/>
      <w:jc w:val="left"/>
    </w:pPr>
  </w:style>
  <w:style w:type="paragraph" w:customStyle="1" w:styleId="Designator">
    <w:name w:val="Designator"/>
    <w:basedOn w:val="Normal"/>
    <w:pPr>
      <w:spacing w:after="0"/>
      <w:jc w:val="center"/>
    </w:pPr>
    <w:rPr>
      <w:b/>
      <w:caps/>
      <w:sz w:val="32"/>
    </w:rPr>
  </w:style>
  <w:style w:type="paragraph" w:customStyle="1" w:styleId="Releasable">
    <w:name w:val="Releasable"/>
    <w:basedOn w:val="Normal"/>
    <w:qFormat/>
    <w:pPr>
      <w:spacing w:after="0"/>
      <w:jc w:val="center"/>
    </w:pPr>
    <w:rPr>
      <w:b/>
      <w:caps/>
      <w:sz w:val="32"/>
      <w:lang w:val="de-DE"/>
    </w:rPr>
  </w:style>
  <w:style w:type="paragraph" w:customStyle="1" w:styleId="RUE">
    <w:name w:val="RUE"/>
    <w:basedOn w:val="Normal"/>
    <w:pPr>
      <w:spacing w:after="0"/>
      <w:jc w:val="center"/>
    </w:pPr>
    <w:rPr>
      <w:b/>
      <w:caps/>
      <w:sz w:val="32"/>
      <w:bdr w:val="single" w:sz="18" w:space="0" w:color="auto"/>
      <w:lang w:val="de-DE"/>
    </w:rPr>
  </w:style>
  <w:style w:type="paragraph" w:customStyle="1" w:styleId="ConfidentialUE">
    <w:name w:val="Confidential UE"/>
    <w:basedOn w:val="Normal"/>
    <w:pPr>
      <w:spacing w:after="0"/>
      <w:jc w:val="center"/>
    </w:pPr>
    <w:rPr>
      <w:b/>
      <w:caps/>
      <w:sz w:val="32"/>
      <w:bdr w:val="single" w:sz="18" w:space="0" w:color="auto"/>
    </w:rPr>
  </w:style>
  <w:style w:type="paragraph" w:customStyle="1" w:styleId="SecretUE">
    <w:name w:val="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paragraph" w:customStyle="1" w:styleId="TrsSecretUE">
    <w:name w:val="Très 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character" w:customStyle="1" w:styleId="FooterChar">
    <w:name w:val="Footer Char"/>
    <w:link w:val="Footer"/>
    <w:uiPriority w:val="99"/>
    <w:rsid w:val="00B538D8"/>
    <w:rPr>
      <w:rFonts w:ascii="Arial" w:hAnsi="Arial"/>
      <w:sz w:val="16"/>
      <w:lang w:eastAsia="en-US"/>
    </w:rPr>
  </w:style>
  <w:style w:type="paragraph" w:customStyle="1" w:styleId="ZCom">
    <w:name w:val="Z_Com"/>
    <w:basedOn w:val="Normal"/>
    <w:next w:val="ZDGName"/>
    <w:uiPriority w:val="99"/>
    <w:rsid w:val="00B538D8"/>
    <w:pPr>
      <w:widowControl w:val="0"/>
      <w:autoSpaceDE w:val="0"/>
      <w:autoSpaceDN w:val="0"/>
      <w:spacing w:after="0"/>
      <w:ind w:right="85"/>
    </w:pPr>
    <w:rPr>
      <w:rFonts w:ascii="Arial" w:hAnsi="Arial" w:cs="Arial"/>
      <w:szCs w:val="24"/>
      <w:lang w:eastAsia="en-GB"/>
    </w:rPr>
  </w:style>
  <w:style w:type="paragraph" w:customStyle="1" w:styleId="ZDGName">
    <w:name w:val="Z_DGName"/>
    <w:basedOn w:val="Normal"/>
    <w:uiPriority w:val="99"/>
    <w:rsid w:val="00B538D8"/>
    <w:pPr>
      <w:widowControl w:val="0"/>
      <w:autoSpaceDE w:val="0"/>
      <w:autoSpaceDN w:val="0"/>
      <w:spacing w:after="0"/>
      <w:ind w:right="85"/>
      <w:jc w:val="left"/>
    </w:pPr>
    <w:rPr>
      <w:rFonts w:ascii="Arial" w:hAnsi="Arial" w:cs="Arial"/>
      <w:sz w:val="16"/>
      <w:szCs w:val="16"/>
      <w:lang w:eastAsia="en-GB"/>
    </w:rPr>
  </w:style>
  <w:style w:type="character" w:customStyle="1" w:styleId="HeaderChar">
    <w:name w:val="Header Char"/>
    <w:link w:val="Header"/>
    <w:uiPriority w:val="99"/>
    <w:rsid w:val="00B538D8"/>
    <w:rPr>
      <w:sz w:val="24"/>
      <w:lang w:eastAsia="en-US"/>
    </w:rPr>
  </w:style>
  <w:style w:type="character" w:styleId="Hyperlink">
    <w:name w:val="Hyperlink"/>
    <w:uiPriority w:val="99"/>
    <w:unhideWhenUsed/>
    <w:rsid w:val="00BF61C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341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F341F"/>
    <w:rPr>
      <w:rFonts w:ascii="Tahoma" w:hAnsi="Tahoma" w:cs="Tahoma"/>
      <w:sz w:val="16"/>
      <w:szCs w:val="16"/>
      <w:lang w:eastAsia="en-US"/>
    </w:rPr>
  </w:style>
  <w:style w:type="character" w:customStyle="1" w:styleId="Heading4Char">
    <w:name w:val="Heading 4 Char"/>
    <w:link w:val="Heading4"/>
    <w:rsid w:val="00554619"/>
    <w:rPr>
      <w:i/>
      <w:color w:val="000000"/>
      <w:sz w:val="24"/>
      <w:lang w:val="fr-BE" w:eastAsia="en-US"/>
    </w:rPr>
  </w:style>
  <w:style w:type="paragraph" w:customStyle="1" w:styleId="FITTable">
    <w:name w:val="FIT Table"/>
    <w:basedOn w:val="Normal"/>
    <w:rsid w:val="00DB72E9"/>
    <w:pPr>
      <w:spacing w:before="60" w:after="60"/>
    </w:pPr>
    <w:rPr>
      <w:sz w:val="22"/>
    </w:rPr>
  </w:style>
  <w:style w:type="character" w:customStyle="1" w:styleId="TitleChar">
    <w:name w:val="Title Char"/>
    <w:link w:val="Title"/>
    <w:rsid w:val="00DB72E9"/>
    <w:rPr>
      <w:b/>
      <w:kern w:val="28"/>
      <w:sz w:val="48"/>
      <w:lang w:eastAsia="en-US"/>
    </w:rPr>
  </w:style>
  <w:style w:type="table" w:styleId="TableGrid">
    <w:name w:val="Table Grid"/>
    <w:basedOn w:val="TableNormal"/>
    <w:uiPriority w:val="59"/>
    <w:rsid w:val="00D638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uidelines">
    <w:name w:val="Guidelines"/>
    <w:basedOn w:val="Text2"/>
    <w:link w:val="GuidelinesChar"/>
    <w:rsid w:val="001207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0"/>
    </w:pPr>
    <w:rPr>
      <w:color w:val="4F81BD"/>
    </w:rPr>
  </w:style>
  <w:style w:type="character" w:customStyle="1" w:styleId="Text2Char">
    <w:name w:val="Text 2 Char"/>
    <w:link w:val="Text2"/>
    <w:rsid w:val="00120799"/>
    <w:rPr>
      <w:sz w:val="24"/>
      <w:lang w:eastAsia="en-US"/>
    </w:rPr>
  </w:style>
  <w:style w:type="character" w:customStyle="1" w:styleId="GuidelinesChar">
    <w:name w:val="Guidelines Char"/>
    <w:link w:val="Guidelines"/>
    <w:rsid w:val="00120799"/>
    <w:rPr>
      <w:color w:val="4F81BD"/>
      <w:sz w:val="24"/>
      <w:lang w:eastAsia="en-US"/>
    </w:rPr>
  </w:style>
  <w:style w:type="character" w:styleId="FootnoteReference">
    <w:name w:val="footnote reference"/>
    <w:uiPriority w:val="99"/>
    <w:semiHidden/>
    <w:unhideWhenUsed/>
    <w:rsid w:val="00D56D3F"/>
    <w:rPr>
      <w:vertAlign w:val="superscript"/>
    </w:rPr>
  </w:style>
  <w:style w:type="table" w:customStyle="1" w:styleId="TableGrid1">
    <w:name w:val="Table Grid1"/>
    <w:basedOn w:val="TableNormal"/>
    <w:next w:val="TableGrid"/>
    <w:rsid w:val="00990D9F"/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link w:val="Heading2"/>
    <w:rsid w:val="00E272CB"/>
    <w:rPr>
      <w:b/>
      <w:sz w:val="24"/>
      <w:lang w:val="fr-BE" w:eastAsia="en-US"/>
    </w:rPr>
  </w:style>
  <w:style w:type="character" w:customStyle="1" w:styleId="Heading3Char">
    <w:name w:val="Heading 3 Char"/>
    <w:link w:val="Heading3"/>
    <w:rsid w:val="00F235A7"/>
    <w:rPr>
      <w:color w:val="000000"/>
      <w:sz w:val="24"/>
      <w:lang w:val="fr-BE" w:eastAsia="en-US"/>
    </w:rPr>
  </w:style>
  <w:style w:type="paragraph" w:styleId="ListParagraph">
    <w:name w:val="List Paragraph"/>
    <w:basedOn w:val="Normal"/>
    <w:uiPriority w:val="34"/>
    <w:qFormat/>
    <w:rsid w:val="00592E64"/>
    <w:pPr>
      <w:ind w:left="720"/>
      <w:contextualSpacing/>
    </w:pPr>
  </w:style>
  <w:style w:type="numbering" w:customStyle="1" w:styleId="Headings">
    <w:name w:val="Headings"/>
    <w:uiPriority w:val="99"/>
    <w:rsid w:val="00162E7B"/>
    <w:pPr>
      <w:numPr>
        <w:numId w:val="1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ublic\Documents\Templates\REP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0BBEB4-4F75-4B7C-96F1-2C24749C2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</Template>
  <TotalTime>0</TotalTime>
  <Pages>1</Pages>
  <Words>27985</Words>
  <Characters>159521</Characters>
  <Application>Microsoft Office Word</Application>
  <DocSecurity>0</DocSecurity>
  <Lines>1329</Lines>
  <Paragraphs>374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of the RDP</vt:lpstr>
    </vt:vector>
  </TitlesOfParts>
  <Company>Member State Name</Company>
  <LinksUpToDate>false</LinksUpToDate>
  <CharactersWithSpaces>187132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 of the RDP</dc:title>
  <dc:creator>Member State Authority</dc:creator>
  <cp:keywords>EL4</cp:keywords>
  <cp:lastModifiedBy>Snezhana Grigorova</cp:lastModifiedBy>
  <cp:revision>3</cp:revision>
  <cp:lastPrinted>2013-05-31T11:39:00Z</cp:lastPrinted>
  <dcterms:created xsi:type="dcterms:W3CDTF">2018-06-29T07:30:00Z</dcterms:created>
  <dcterms:modified xsi:type="dcterms:W3CDTF">2018-06-29T07:31:00Z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/>
  </property>
  <property fmtid="{D5CDD505-2E9C-101B-9397-08002B2CF9AE}" pid="3" name="Contributor">
    <vt:lpwstr/>
  </property>
  <property fmtid="{D5CDD505-2E9C-101B-9397-08002B2CF9AE}" pid="4" name="Created using">
    <vt:lpwstr>EL 4.6 Build 21000</vt:lpwstr>
  </property>
  <property fmtid="{D5CDD505-2E9C-101B-9397-08002B2CF9AE}" pid="5" name="Creator">
    <vt:lpwstr/>
  </property>
  <property fmtid="{D5CDD505-2E9C-101B-9397-08002B2CF9AE}" pid="6" name="DateAlarm">
    <vt:lpwstr/>
  </property>
  <property fmtid="{D5CDD505-2E9C-101B-9397-08002B2CF9AE}" pid="7" name="DatePublication">
    <vt:lpwstr/>
  </property>
  <property fmtid="{D5CDD505-2E9C-101B-9397-08002B2CF9AE}" pid="8" name="Description">
    <vt:lpwstr/>
  </property>
  <property fmtid="{D5CDD505-2E9C-101B-9397-08002B2CF9AE}" pid="9" name="DocID_EU">
    <vt:lpwstr> </vt:lpwstr>
  </property>
  <property fmtid="{D5CDD505-2E9C-101B-9397-08002B2CF9AE}" pid="10" name="ELDocType">
    <vt:lpwstr>rep.dot</vt:lpwstr>
  </property>
  <property fmtid="{D5CDD505-2E9C-101B-9397-08002B2CF9AE}" pid="11" name="EL_Author">
    <vt:lpwstr>Vallet Marc (Everis)</vt:lpwstr>
  </property>
  <property fmtid="{D5CDD505-2E9C-101B-9397-08002B2CF9AE}" pid="12" name="EL_Language">
    <vt:lpwstr>EN</vt:lpwstr>
  </property>
  <property fmtid="{D5CDD505-2E9C-101B-9397-08002B2CF9AE}" pid="13" name="EurolookVersion">
    <vt:lpwstr>4.5</vt:lpwstr>
  </property>
  <property fmtid="{D5CDD505-2E9C-101B-9397-08002B2CF9AE}" pid="14" name="Formatting">
    <vt:lpwstr>4.1</vt:lpwstr>
  </property>
  <property fmtid="{D5CDD505-2E9C-101B-9397-08002B2CF9AE}" pid="15" name="Language">
    <vt:lpwstr>EN</vt:lpwstr>
  </property>
  <property fmtid="{D5CDD505-2E9C-101B-9397-08002B2CF9AE}" pid="16" name="Last edited using">
    <vt:lpwstr>EL 4.6 Build 34000</vt:lpwstr>
  </property>
  <property fmtid="{D5CDD505-2E9C-101B-9397-08002B2CF9AE}" pid="17" name="Publisher">
    <vt:lpwstr/>
  </property>
  <property fmtid="{D5CDD505-2E9C-101B-9397-08002B2CF9AE}" pid="18" name="Reference">
    <vt:lpwstr/>
  </property>
  <property fmtid="{D5CDD505-2E9C-101B-9397-08002B2CF9AE}" pid="19" name="Rights">
    <vt:lpwstr/>
  </property>
  <property fmtid="{D5CDD505-2E9C-101B-9397-08002B2CF9AE}" pid="20" name="TemplateVersion">
    <vt:lpwstr>4.5.0.2</vt:lpwstr>
  </property>
  <property fmtid="{D5CDD505-2E9C-101B-9397-08002B2CF9AE}" pid="21" name="Type">
    <vt:lpwstr>Eurolook Report</vt:lpwstr>
  </property>
</Properties>
</file>